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A8" w:rsidRPr="00A66A37" w:rsidRDefault="00F86DA8" w:rsidP="00297F15">
      <w:pPr>
        <w:ind w:left="-709"/>
        <w:jc w:val="both"/>
        <w:rPr>
          <w:sz w:val="22"/>
          <w:szCs w:val="22"/>
          <w:lang w:val="sr-Cyrl-CS"/>
        </w:rPr>
      </w:pPr>
      <w:bookmarkStart w:id="0" w:name="_GoBack"/>
      <w:bookmarkEnd w:id="0"/>
      <w:r w:rsidRPr="00A66A37">
        <w:rPr>
          <w:sz w:val="22"/>
          <w:szCs w:val="22"/>
          <w:lang w:val="sr-Cyrl-CS"/>
        </w:rPr>
        <w:t xml:space="preserve">На основу Решења стечајног судије Привредног суда у  Београду </w:t>
      </w:r>
      <w:r w:rsidRPr="00A66A37">
        <w:rPr>
          <w:color w:val="000000"/>
          <w:sz w:val="22"/>
          <w:szCs w:val="22"/>
          <w:lang w:val="sr-Cyrl-CS"/>
        </w:rPr>
        <w:t>50.Ст-3840/2011</w:t>
      </w:r>
      <w:r w:rsidRPr="00A66A37">
        <w:rPr>
          <w:b/>
          <w:bCs/>
          <w:color w:val="000000"/>
          <w:sz w:val="22"/>
          <w:szCs w:val="22"/>
          <w:lang w:val="sr-Cyrl-CS"/>
        </w:rPr>
        <w:t xml:space="preserve"> </w:t>
      </w:r>
      <w:r w:rsidRPr="00A66A37">
        <w:rPr>
          <w:color w:val="000000"/>
          <w:sz w:val="22"/>
          <w:szCs w:val="22"/>
          <w:lang w:val="sr-Cyrl-CS"/>
        </w:rPr>
        <w:t xml:space="preserve">од  </w:t>
      </w:r>
      <w:r w:rsidR="0080361A">
        <w:rPr>
          <w:color w:val="000000"/>
          <w:sz w:val="22"/>
          <w:szCs w:val="22"/>
          <w:lang w:val="sr-Cyrl-CS"/>
        </w:rPr>
        <w:t>30.03</w:t>
      </w:r>
      <w:r w:rsidRPr="00A66A37">
        <w:rPr>
          <w:color w:val="000000"/>
          <w:sz w:val="22"/>
          <w:szCs w:val="22"/>
          <w:lang w:val="sr-Cyrl-CS"/>
        </w:rPr>
        <w:t>.201</w:t>
      </w:r>
      <w:r w:rsidR="0080361A">
        <w:rPr>
          <w:color w:val="000000"/>
          <w:sz w:val="22"/>
          <w:szCs w:val="22"/>
          <w:lang w:val="sr-Cyrl-CS"/>
        </w:rPr>
        <w:t>2</w:t>
      </w:r>
      <w:r w:rsidRPr="00A66A37">
        <w:rPr>
          <w:color w:val="000000"/>
          <w:sz w:val="22"/>
          <w:szCs w:val="22"/>
          <w:lang w:val="sr-Cyrl-CS"/>
        </w:rPr>
        <w:t>.</w:t>
      </w:r>
      <w:r w:rsidRPr="00A66A37">
        <w:rPr>
          <w:sz w:val="22"/>
          <w:szCs w:val="22"/>
          <w:lang w:val="sr-Cyrl-CS"/>
        </w:rPr>
        <w:t xml:space="preserve"> године, а у складу са члан</w:t>
      </w:r>
      <w:r w:rsidRPr="00A66A37">
        <w:rPr>
          <w:sz w:val="22"/>
          <w:szCs w:val="22"/>
          <w:lang w:val="sr-Latn-CS"/>
        </w:rPr>
        <w:t>o</w:t>
      </w:r>
      <w:r w:rsidRPr="00A66A37">
        <w:rPr>
          <w:sz w:val="22"/>
          <w:szCs w:val="22"/>
          <w:lang w:val="sr-Cyrl-CS"/>
        </w:rPr>
        <w:t xml:space="preserve">вима 131, </w:t>
      </w:r>
      <w:r w:rsidRPr="00A66A37">
        <w:rPr>
          <w:sz w:val="22"/>
          <w:szCs w:val="22"/>
          <w:lang w:val="ru-RU"/>
        </w:rPr>
        <w:t>132</w:t>
      </w:r>
      <w:r w:rsidRPr="00A66A37">
        <w:rPr>
          <w:sz w:val="22"/>
          <w:szCs w:val="22"/>
          <w:lang w:val="sr-Latn-CS"/>
        </w:rPr>
        <w:t>,</w:t>
      </w:r>
      <w:r w:rsidRPr="00A66A37">
        <w:rPr>
          <w:sz w:val="22"/>
          <w:szCs w:val="22"/>
          <w:lang w:val="ru-RU"/>
        </w:rPr>
        <w:t xml:space="preserve"> </w:t>
      </w:r>
      <w:r w:rsidRPr="00A66A37">
        <w:rPr>
          <w:sz w:val="22"/>
          <w:szCs w:val="22"/>
          <w:lang w:val="sr-Cyrl-CS"/>
        </w:rPr>
        <w:t>133</w:t>
      </w:r>
      <w:r w:rsidRPr="00A66A37">
        <w:rPr>
          <w:sz w:val="22"/>
          <w:szCs w:val="22"/>
          <w:lang w:val="sr-Latn-CS"/>
        </w:rPr>
        <w:t xml:space="preserve">, 135. </w:t>
      </w:r>
      <w:r w:rsidRPr="00A66A37">
        <w:rPr>
          <w:sz w:val="22"/>
          <w:szCs w:val="22"/>
          <w:lang w:val="sr-Cyrl-CS"/>
        </w:rPr>
        <w:t xml:space="preserve">и </w:t>
      </w:r>
      <w:r w:rsidRPr="00A66A37">
        <w:rPr>
          <w:sz w:val="22"/>
          <w:szCs w:val="22"/>
          <w:lang w:val="sr-Latn-CS"/>
        </w:rPr>
        <w:t>136.</w:t>
      </w:r>
      <w:r w:rsidRPr="00A66A37">
        <w:rPr>
          <w:sz w:val="22"/>
          <w:szCs w:val="22"/>
          <w:lang w:val="sr-Cyrl-CS"/>
        </w:rPr>
        <w:t xml:space="preserve"> Закона о стечају (</w:t>
      </w:r>
      <w:r w:rsidRPr="00A66A37">
        <w:rPr>
          <w:sz w:val="22"/>
          <w:szCs w:val="22"/>
          <w:lang w:val="sr-Latn-CS"/>
        </w:rPr>
        <w:t>„</w:t>
      </w:r>
      <w:r w:rsidRPr="00A66A37">
        <w:rPr>
          <w:i/>
          <w:iCs/>
          <w:sz w:val="22"/>
          <w:szCs w:val="22"/>
          <w:lang w:val="sr-Cyrl-CS"/>
        </w:rPr>
        <w:t>Службени гласник  Републике Србије</w:t>
      </w:r>
      <w:r w:rsidRPr="00A66A37">
        <w:rPr>
          <w:i/>
          <w:iCs/>
          <w:sz w:val="22"/>
          <w:szCs w:val="22"/>
          <w:lang w:val="sr-Latn-CS"/>
        </w:rPr>
        <w:t>“</w:t>
      </w:r>
      <w:r w:rsidRPr="00A66A37">
        <w:rPr>
          <w:i/>
          <w:iCs/>
          <w:sz w:val="22"/>
          <w:szCs w:val="22"/>
          <w:lang w:val="sr-Cyrl-CS"/>
        </w:rPr>
        <w:t xml:space="preserve"> број 104/2009</w:t>
      </w:r>
      <w:r w:rsidRPr="00A66A37">
        <w:rPr>
          <w:sz w:val="22"/>
          <w:szCs w:val="22"/>
          <w:lang w:val="sr-Cyrl-CS"/>
        </w:rPr>
        <w:t>), Националним стандардом број 5 – Национални стандард о начину и поступку уновчења имовине стечајног дужника (</w:t>
      </w:r>
      <w:r w:rsidRPr="00A66A37">
        <w:rPr>
          <w:sz w:val="22"/>
          <w:szCs w:val="22"/>
          <w:lang w:val="sr-Latn-CS"/>
        </w:rPr>
        <w:t>„</w:t>
      </w:r>
      <w:r w:rsidRPr="00A66A37">
        <w:rPr>
          <w:i/>
          <w:iCs/>
          <w:sz w:val="22"/>
          <w:szCs w:val="22"/>
          <w:lang w:val="sr-Cyrl-CS"/>
        </w:rPr>
        <w:t>Службени гласник Републике Србије</w:t>
      </w:r>
      <w:r w:rsidRPr="00A66A37">
        <w:rPr>
          <w:i/>
          <w:iCs/>
          <w:sz w:val="22"/>
          <w:szCs w:val="22"/>
          <w:lang w:val="sr-Latn-CS"/>
        </w:rPr>
        <w:t>“</w:t>
      </w:r>
      <w:r w:rsidRPr="00A66A37">
        <w:rPr>
          <w:i/>
          <w:iCs/>
          <w:sz w:val="22"/>
          <w:szCs w:val="22"/>
          <w:lang w:val="sr-Cyrl-CS"/>
        </w:rPr>
        <w:t xml:space="preserve"> број 13/2010</w:t>
      </w:r>
      <w:r w:rsidRPr="00A66A37">
        <w:rPr>
          <w:sz w:val="22"/>
          <w:szCs w:val="22"/>
          <w:lang w:val="sr-Cyrl-CS"/>
        </w:rPr>
        <w:t xml:space="preserve">) и на основу сагласности Одбора поверилаца од </w:t>
      </w:r>
      <w:r w:rsidRPr="00A66A37">
        <w:rPr>
          <w:sz w:val="22"/>
          <w:szCs w:val="22"/>
          <w:lang w:val="sr-Latn-CS"/>
        </w:rPr>
        <w:t>26</w:t>
      </w:r>
      <w:r w:rsidRPr="00A66A37">
        <w:rPr>
          <w:sz w:val="22"/>
          <w:szCs w:val="22"/>
          <w:lang w:val="sr-Cyrl-CS"/>
        </w:rPr>
        <w:t>.0</w:t>
      </w:r>
      <w:r w:rsidRPr="00A66A37">
        <w:rPr>
          <w:sz w:val="22"/>
          <w:szCs w:val="22"/>
          <w:lang w:val="sr-Latn-CS"/>
        </w:rPr>
        <w:t>6</w:t>
      </w:r>
      <w:r w:rsidRPr="00A66A37">
        <w:rPr>
          <w:sz w:val="22"/>
          <w:szCs w:val="22"/>
          <w:lang w:val="sr-Cyrl-CS"/>
        </w:rPr>
        <w:t>.2015. године, стечајни управник стечајног дужника</w:t>
      </w:r>
    </w:p>
    <w:p w:rsidR="00F86DA8" w:rsidRPr="00A66A37" w:rsidRDefault="00F86DA8" w:rsidP="005E5484">
      <w:pPr>
        <w:tabs>
          <w:tab w:val="left" w:pos="7980"/>
        </w:tabs>
        <w:jc w:val="both"/>
        <w:rPr>
          <w:b/>
          <w:bCs/>
          <w:sz w:val="22"/>
          <w:szCs w:val="22"/>
          <w:lang w:val="sr-Cyrl-CS"/>
        </w:rPr>
      </w:pPr>
      <w:r w:rsidRPr="00A66A37">
        <w:rPr>
          <w:b/>
          <w:bCs/>
          <w:sz w:val="22"/>
          <w:szCs w:val="22"/>
          <w:lang w:val="sr-Cyrl-CS"/>
        </w:rPr>
        <w:tab/>
      </w:r>
    </w:p>
    <w:p w:rsidR="00F86DA8" w:rsidRPr="00A66A37" w:rsidRDefault="00F86DA8" w:rsidP="00297F15">
      <w:pPr>
        <w:jc w:val="center"/>
        <w:rPr>
          <w:b/>
          <w:bCs/>
          <w:color w:val="000000"/>
          <w:sz w:val="22"/>
          <w:szCs w:val="22"/>
        </w:rPr>
      </w:pPr>
      <w:r w:rsidRPr="00A66A37">
        <w:rPr>
          <w:b/>
          <w:bCs/>
          <w:color w:val="000000"/>
          <w:sz w:val="22"/>
          <w:szCs w:val="22"/>
          <w:lang w:val="sr-Cyrl-CS"/>
        </w:rPr>
        <w:t>„ШУМАДИЈА ПРОМЕТ“</w:t>
      </w:r>
      <w:r w:rsidRPr="00A66A37">
        <w:rPr>
          <w:b/>
          <w:bCs/>
          <w:color w:val="000000"/>
          <w:sz w:val="22"/>
          <w:szCs w:val="22"/>
          <w:lang w:val="sr-Latn-CS"/>
        </w:rPr>
        <w:t xml:space="preserve"> </w:t>
      </w:r>
      <w:r w:rsidRPr="00A66A37">
        <w:rPr>
          <w:b/>
          <w:bCs/>
          <w:color w:val="000000"/>
          <w:sz w:val="22"/>
          <w:szCs w:val="22"/>
          <w:lang w:val="sr-Cyrl-CS"/>
        </w:rPr>
        <w:t>АД</w:t>
      </w:r>
      <w:r w:rsidRPr="00A66A37">
        <w:rPr>
          <w:b/>
          <w:bCs/>
          <w:color w:val="000000"/>
          <w:sz w:val="22"/>
          <w:szCs w:val="22"/>
          <w:lang w:val="sr-Latn-CS"/>
        </w:rPr>
        <w:t xml:space="preserve"> у стечају</w:t>
      </w:r>
      <w:r w:rsidRPr="00A66A37">
        <w:rPr>
          <w:b/>
          <w:bCs/>
          <w:color w:val="000000"/>
          <w:sz w:val="22"/>
          <w:szCs w:val="22"/>
        </w:rPr>
        <w:t>,</w:t>
      </w:r>
    </w:p>
    <w:p w:rsidR="00F86DA8" w:rsidRPr="00A66A37" w:rsidRDefault="00F86DA8" w:rsidP="00297F15">
      <w:pPr>
        <w:jc w:val="center"/>
        <w:rPr>
          <w:b/>
          <w:bCs/>
          <w:color w:val="000000"/>
          <w:sz w:val="22"/>
          <w:szCs w:val="22"/>
          <w:lang w:val="sr-Cyrl-CS"/>
        </w:rPr>
      </w:pPr>
      <w:r w:rsidRPr="00A66A37">
        <w:rPr>
          <w:b/>
          <w:bCs/>
          <w:color w:val="000000"/>
          <w:sz w:val="22"/>
          <w:szCs w:val="22"/>
          <w:lang w:val="sr-Cyrl-CS"/>
        </w:rPr>
        <w:t>БЕОГРАД, улица Војводе Степе бр. 352</w:t>
      </w:r>
    </w:p>
    <w:p w:rsidR="00F86DA8" w:rsidRPr="00A66A37" w:rsidRDefault="00F86DA8" w:rsidP="00297F15">
      <w:pPr>
        <w:jc w:val="center"/>
        <w:rPr>
          <w:color w:val="0070C0"/>
          <w:sz w:val="22"/>
          <w:szCs w:val="22"/>
        </w:rPr>
      </w:pPr>
    </w:p>
    <w:p w:rsidR="00F86DA8" w:rsidRPr="00A66A37" w:rsidRDefault="00F86DA8" w:rsidP="00297F15">
      <w:pPr>
        <w:jc w:val="center"/>
        <w:rPr>
          <w:b/>
          <w:bCs/>
          <w:color w:val="000000"/>
          <w:sz w:val="22"/>
          <w:szCs w:val="22"/>
          <w:lang w:val="sr-Cyrl-CS"/>
        </w:rPr>
      </w:pPr>
      <w:r w:rsidRPr="00A66A37">
        <w:rPr>
          <w:b/>
          <w:bCs/>
          <w:color w:val="000000"/>
          <w:sz w:val="22"/>
          <w:szCs w:val="22"/>
          <w:lang w:val="sr-Cyrl-CS"/>
        </w:rPr>
        <w:t>ОГЛАШАВА</w:t>
      </w:r>
    </w:p>
    <w:p w:rsidR="00F86DA8" w:rsidRPr="00A66A37" w:rsidRDefault="00F86DA8" w:rsidP="00297F15">
      <w:pPr>
        <w:jc w:val="center"/>
        <w:rPr>
          <w:b/>
          <w:bCs/>
          <w:color w:val="000000"/>
          <w:sz w:val="22"/>
          <w:szCs w:val="22"/>
        </w:rPr>
      </w:pPr>
      <w:r w:rsidRPr="00A66A37">
        <w:rPr>
          <w:b/>
          <w:bCs/>
          <w:color w:val="000000"/>
          <w:sz w:val="22"/>
          <w:szCs w:val="22"/>
          <w:lang w:val="sr-Cyrl-CS"/>
        </w:rPr>
        <w:t xml:space="preserve">Продају стечајног дужника као правног лица </w:t>
      </w:r>
      <w:r w:rsidR="00704F3D" w:rsidRPr="00A66A37">
        <w:rPr>
          <w:b/>
          <w:bCs/>
          <w:color w:val="000000"/>
          <w:sz w:val="22"/>
          <w:szCs w:val="22"/>
          <w:lang w:val="sr-Cyrl-CS"/>
        </w:rPr>
        <w:t xml:space="preserve"> методом јавног</w:t>
      </w:r>
      <w:r w:rsidRPr="00A66A37">
        <w:rPr>
          <w:b/>
          <w:bCs/>
          <w:color w:val="000000"/>
          <w:sz w:val="22"/>
          <w:szCs w:val="22"/>
          <w:lang w:val="sr-Cyrl-CS"/>
        </w:rPr>
        <w:t xml:space="preserve"> </w:t>
      </w:r>
      <w:r w:rsidR="00704F3D" w:rsidRPr="00A66A37">
        <w:rPr>
          <w:b/>
          <w:bCs/>
          <w:color w:val="000000"/>
          <w:sz w:val="22"/>
          <w:szCs w:val="22"/>
          <w:lang w:val="sr-Cyrl-CS"/>
        </w:rPr>
        <w:t>надметања</w:t>
      </w:r>
    </w:p>
    <w:p w:rsidR="00F86DA8" w:rsidRPr="00A66A37" w:rsidRDefault="00F86DA8" w:rsidP="005E5484">
      <w:pPr>
        <w:jc w:val="both"/>
        <w:rPr>
          <w:b/>
          <w:bCs/>
          <w:color w:val="000000"/>
          <w:sz w:val="22"/>
          <w:szCs w:val="22"/>
        </w:rPr>
      </w:pPr>
    </w:p>
    <w:p w:rsidR="00F86DA8" w:rsidRPr="00A66A37" w:rsidRDefault="00F86DA8" w:rsidP="000C3D26">
      <w:pPr>
        <w:spacing w:line="259" w:lineRule="auto"/>
        <w:jc w:val="both"/>
        <w:rPr>
          <w:color w:val="000000"/>
          <w:sz w:val="22"/>
          <w:szCs w:val="22"/>
          <w:lang w:val="sr-Cyrl-CS"/>
        </w:rPr>
      </w:pPr>
      <w:r w:rsidRPr="00A66A37">
        <w:rPr>
          <w:color w:val="000000"/>
          <w:sz w:val="22"/>
          <w:szCs w:val="22"/>
        </w:rPr>
        <w:t>Најважнију имовину стечајног дужника чине:</w:t>
      </w:r>
      <w:r w:rsidRPr="00A66A37">
        <w:rPr>
          <w:color w:val="000000"/>
          <w:sz w:val="22"/>
          <w:szCs w:val="22"/>
        </w:rPr>
        <w:tab/>
      </w:r>
    </w:p>
    <w:p w:rsidR="00F86DA8" w:rsidRPr="00A66A37" w:rsidRDefault="00F86DA8" w:rsidP="000C3D26">
      <w:pPr>
        <w:spacing w:line="259" w:lineRule="auto"/>
        <w:jc w:val="both"/>
        <w:rPr>
          <w:color w:val="000000"/>
          <w:sz w:val="22"/>
          <w:szCs w:val="22"/>
          <w:lang w:val="sr-Cyrl-CS"/>
        </w:rPr>
      </w:pPr>
    </w:p>
    <w:p w:rsidR="00F86DA8" w:rsidRPr="00A66A37" w:rsidRDefault="00F86DA8" w:rsidP="00CC64D1">
      <w:pPr>
        <w:pStyle w:val="ListParagraph"/>
        <w:numPr>
          <w:ilvl w:val="0"/>
          <w:numId w:val="16"/>
        </w:numPr>
        <w:tabs>
          <w:tab w:val="left" w:pos="284"/>
        </w:tabs>
        <w:spacing w:line="259" w:lineRule="auto"/>
        <w:jc w:val="both"/>
        <w:rPr>
          <w:color w:val="000000"/>
          <w:sz w:val="22"/>
          <w:szCs w:val="22"/>
        </w:rPr>
      </w:pPr>
      <w:r w:rsidRPr="00A66A37">
        <w:rPr>
          <w:b/>
          <w:bCs/>
          <w:color w:val="000000"/>
          <w:sz w:val="22"/>
          <w:szCs w:val="22"/>
        </w:rPr>
        <w:t xml:space="preserve">Објекат у Тополи, у улици Милана Благојевића </w:t>
      </w:r>
      <w:r w:rsidRPr="00A66A37">
        <w:rPr>
          <w:color w:val="000000"/>
          <w:sz w:val="22"/>
          <w:szCs w:val="22"/>
        </w:rPr>
        <w:t>(Солунских ратника)</w:t>
      </w:r>
      <w:r w:rsidRPr="00A66A37">
        <w:rPr>
          <w:b/>
          <w:bCs/>
          <w:color w:val="000000"/>
          <w:sz w:val="22"/>
          <w:szCs w:val="22"/>
        </w:rPr>
        <w:t xml:space="preserve"> бр. 15, постојећи на к.п. 1174/2, уписани у Лист непокретности број 563, КО Топола, као:</w:t>
      </w:r>
      <w:r w:rsidRPr="00A66A37">
        <w:rPr>
          <w:color w:val="000000"/>
          <w:sz w:val="22"/>
          <w:szCs w:val="22"/>
        </w:rPr>
        <w:t xml:space="preserve"> Зграда техничких услуга, </w:t>
      </w:r>
      <w:r w:rsidRPr="00A66A37">
        <w:rPr>
          <w:b/>
          <w:bCs/>
          <w:color w:val="000000"/>
          <w:sz w:val="22"/>
          <w:szCs w:val="22"/>
        </w:rPr>
        <w:t xml:space="preserve">број зграде 1, </w:t>
      </w:r>
      <w:r w:rsidRPr="00A66A37">
        <w:rPr>
          <w:color w:val="000000"/>
          <w:sz w:val="22"/>
          <w:szCs w:val="22"/>
        </w:rPr>
        <w:t>укупне површине 710 м², уписан у ЛН у основи 710 м², објекат има одобрење за градњу, својина стечајног дужника;</w:t>
      </w:r>
    </w:p>
    <w:p w:rsidR="00F86DA8" w:rsidRPr="00A66A37" w:rsidRDefault="00F86DA8" w:rsidP="00CC64D1">
      <w:pPr>
        <w:pStyle w:val="ListParagraph"/>
        <w:numPr>
          <w:ilvl w:val="0"/>
          <w:numId w:val="16"/>
        </w:numPr>
        <w:tabs>
          <w:tab w:val="left" w:pos="284"/>
        </w:tabs>
        <w:spacing w:line="259" w:lineRule="auto"/>
        <w:jc w:val="both"/>
        <w:rPr>
          <w:color w:val="000000"/>
          <w:sz w:val="22"/>
          <w:szCs w:val="22"/>
        </w:rPr>
      </w:pPr>
      <w:r w:rsidRPr="00A66A37">
        <w:rPr>
          <w:b/>
          <w:bCs/>
          <w:color w:val="000000"/>
          <w:sz w:val="22"/>
          <w:szCs w:val="22"/>
        </w:rPr>
        <w:t xml:space="preserve">Објекат у Тополи, у улици Милана Благојевића </w:t>
      </w:r>
      <w:r w:rsidRPr="00A66A37">
        <w:rPr>
          <w:color w:val="000000"/>
          <w:sz w:val="22"/>
          <w:szCs w:val="22"/>
        </w:rPr>
        <w:t>(Солунских ратника)</w:t>
      </w:r>
      <w:r w:rsidRPr="00A66A37">
        <w:rPr>
          <w:b/>
          <w:bCs/>
          <w:color w:val="000000"/>
          <w:sz w:val="22"/>
          <w:szCs w:val="22"/>
        </w:rPr>
        <w:t xml:space="preserve"> бр. 17, постојећи на к.п. 1174/3, уписани у Лист непокретности број 563, КО Топола, као:</w:t>
      </w:r>
      <w:r w:rsidRPr="00A66A37">
        <w:rPr>
          <w:color w:val="000000"/>
          <w:sz w:val="22"/>
          <w:szCs w:val="22"/>
        </w:rPr>
        <w:t xml:space="preserve"> Зграда пословних услуга, </w:t>
      </w:r>
      <w:r w:rsidRPr="00A66A37">
        <w:rPr>
          <w:b/>
          <w:bCs/>
          <w:color w:val="000000"/>
          <w:sz w:val="22"/>
          <w:szCs w:val="22"/>
        </w:rPr>
        <w:t xml:space="preserve">број зграде 1, </w:t>
      </w:r>
      <w:r w:rsidRPr="00A66A37">
        <w:rPr>
          <w:color w:val="000000"/>
          <w:sz w:val="22"/>
          <w:szCs w:val="22"/>
        </w:rPr>
        <w:t>укупне површине 603 м², уписан у ЛН у основи  603 м²,  објекат има одобрење за градњу, ½ објекта је својина стечајног дужника;</w:t>
      </w:r>
    </w:p>
    <w:p w:rsidR="00F86DA8" w:rsidRPr="00A66A37" w:rsidRDefault="00F86DA8" w:rsidP="002433BC">
      <w:pPr>
        <w:pStyle w:val="ListParagraph"/>
        <w:numPr>
          <w:ilvl w:val="0"/>
          <w:numId w:val="16"/>
        </w:numPr>
        <w:tabs>
          <w:tab w:val="left" w:pos="284"/>
        </w:tabs>
        <w:spacing w:line="259" w:lineRule="auto"/>
        <w:jc w:val="both"/>
        <w:rPr>
          <w:color w:val="000000"/>
          <w:sz w:val="22"/>
          <w:szCs w:val="22"/>
        </w:rPr>
      </w:pPr>
      <w:r w:rsidRPr="00A66A37">
        <w:rPr>
          <w:b/>
          <w:bCs/>
          <w:color w:val="000000"/>
          <w:sz w:val="22"/>
          <w:szCs w:val="22"/>
        </w:rPr>
        <w:t xml:space="preserve">Објекат у Тополи, у улици Милана Благојевића </w:t>
      </w:r>
      <w:r w:rsidRPr="00A66A37">
        <w:rPr>
          <w:color w:val="000000"/>
          <w:sz w:val="22"/>
          <w:szCs w:val="22"/>
        </w:rPr>
        <w:t>(Солунских ратника)</w:t>
      </w:r>
      <w:r w:rsidRPr="00A66A37">
        <w:rPr>
          <w:b/>
          <w:bCs/>
          <w:color w:val="000000"/>
          <w:sz w:val="22"/>
          <w:szCs w:val="22"/>
        </w:rPr>
        <w:t xml:space="preserve"> бр. 5, постојећи на к.п. 1197/3, уписани у Лист непокретности број 563, КО Топола, као:</w:t>
      </w:r>
      <w:r w:rsidRPr="00A66A37">
        <w:rPr>
          <w:color w:val="000000"/>
          <w:sz w:val="22"/>
          <w:szCs w:val="22"/>
        </w:rPr>
        <w:t xml:space="preserve"> Зграда пословних услуга, </w:t>
      </w:r>
      <w:r w:rsidRPr="00A66A37">
        <w:rPr>
          <w:b/>
          <w:bCs/>
          <w:color w:val="000000"/>
          <w:sz w:val="22"/>
          <w:szCs w:val="22"/>
        </w:rPr>
        <w:t xml:space="preserve">број зграде 1, </w:t>
      </w:r>
      <w:r w:rsidRPr="00A66A37">
        <w:rPr>
          <w:color w:val="000000"/>
          <w:sz w:val="22"/>
          <w:szCs w:val="22"/>
        </w:rPr>
        <w:t>укупне површине 823 м², уписан у ЛН у основи  456 м²,   објекат има одобрење за употребу, својина стечајног дужника (У ЛН цео објекат је уписан као својина стечајног дужника. У стварности стечајни ду</w:t>
      </w:r>
      <w:r w:rsidR="00FC49A8">
        <w:rPr>
          <w:color w:val="000000"/>
          <w:sz w:val="22"/>
          <w:szCs w:val="22"/>
        </w:rPr>
        <w:t>жник</w:t>
      </w:r>
      <w:r w:rsidRPr="00A66A37">
        <w:rPr>
          <w:color w:val="000000"/>
          <w:sz w:val="22"/>
          <w:szCs w:val="22"/>
        </w:rPr>
        <w:t xml:space="preserve"> је власник ½ објекта, док је ½ објекта у власништву трећег лица, по основу Уговора о купопродаји, што није уписано у Катастру непокретности);</w:t>
      </w:r>
    </w:p>
    <w:p w:rsidR="00F86DA8" w:rsidRPr="00A66A37" w:rsidRDefault="00F86DA8" w:rsidP="002433BC">
      <w:pPr>
        <w:pStyle w:val="ListParagraph"/>
        <w:numPr>
          <w:ilvl w:val="0"/>
          <w:numId w:val="16"/>
        </w:numPr>
        <w:tabs>
          <w:tab w:val="left" w:pos="284"/>
        </w:tabs>
        <w:spacing w:line="259" w:lineRule="auto"/>
        <w:jc w:val="both"/>
        <w:rPr>
          <w:color w:val="000000"/>
          <w:sz w:val="22"/>
          <w:szCs w:val="22"/>
        </w:rPr>
      </w:pPr>
      <w:r w:rsidRPr="00A66A37">
        <w:rPr>
          <w:b/>
          <w:bCs/>
          <w:color w:val="000000"/>
          <w:sz w:val="22"/>
          <w:szCs w:val="22"/>
        </w:rPr>
        <w:t xml:space="preserve">Објекат у Тополи, у улици Милана Благојевића </w:t>
      </w:r>
      <w:r w:rsidRPr="00A66A37">
        <w:rPr>
          <w:color w:val="000000"/>
          <w:sz w:val="22"/>
          <w:szCs w:val="22"/>
        </w:rPr>
        <w:t>(Солунских ратника)</w:t>
      </w:r>
      <w:r w:rsidRPr="00A66A37">
        <w:rPr>
          <w:b/>
          <w:bCs/>
          <w:color w:val="000000"/>
          <w:sz w:val="22"/>
          <w:szCs w:val="22"/>
        </w:rPr>
        <w:t xml:space="preserve"> бр. 5, постојећи на к.п. 1197/3, уписани у Лист непокретности број 563, КО Топола, као:</w:t>
      </w:r>
      <w:r w:rsidRPr="00A66A37">
        <w:rPr>
          <w:color w:val="000000"/>
          <w:sz w:val="22"/>
          <w:szCs w:val="22"/>
        </w:rPr>
        <w:t xml:space="preserve"> Зграда пословних услуга, </w:t>
      </w:r>
      <w:r w:rsidRPr="00A66A37">
        <w:rPr>
          <w:b/>
          <w:bCs/>
          <w:color w:val="000000"/>
          <w:sz w:val="22"/>
          <w:szCs w:val="22"/>
        </w:rPr>
        <w:t xml:space="preserve">број зграде 2, </w:t>
      </w:r>
      <w:r w:rsidRPr="00A66A37">
        <w:rPr>
          <w:color w:val="000000"/>
          <w:sz w:val="22"/>
          <w:szCs w:val="22"/>
        </w:rPr>
        <w:t>укупне површине 741 м², уписан у ЛН у основи  475 м²,  објекат има одобрење за употребу, својина стечајног дужника (У ЛН цео објекат је уписан као својина стечајног дужник</w:t>
      </w:r>
      <w:r w:rsidR="00FC49A8">
        <w:rPr>
          <w:color w:val="000000"/>
          <w:sz w:val="22"/>
          <w:szCs w:val="22"/>
        </w:rPr>
        <w:t>а. У стварности стечајни дужник</w:t>
      </w:r>
      <w:r w:rsidRPr="00A66A37">
        <w:rPr>
          <w:color w:val="000000"/>
          <w:sz w:val="22"/>
          <w:szCs w:val="22"/>
        </w:rPr>
        <w:t xml:space="preserve"> је власник ½ објекта, док је ½ објекта у власништву трећег лица, по основу Уговора о купопродаји, што није уписано у Катастру непокретности);</w:t>
      </w:r>
    </w:p>
    <w:p w:rsidR="00F86DA8" w:rsidRPr="00A66A37" w:rsidRDefault="00F86DA8" w:rsidP="00DC49C8">
      <w:pPr>
        <w:pStyle w:val="ListParagraph"/>
        <w:numPr>
          <w:ilvl w:val="0"/>
          <w:numId w:val="16"/>
        </w:numPr>
        <w:tabs>
          <w:tab w:val="left" w:pos="284"/>
        </w:tabs>
        <w:spacing w:line="259" w:lineRule="auto"/>
        <w:jc w:val="both"/>
        <w:rPr>
          <w:color w:val="000000"/>
          <w:sz w:val="22"/>
          <w:szCs w:val="22"/>
        </w:rPr>
      </w:pPr>
      <w:r w:rsidRPr="00A66A37">
        <w:rPr>
          <w:b/>
          <w:bCs/>
          <w:color w:val="000000"/>
          <w:sz w:val="22"/>
          <w:szCs w:val="22"/>
        </w:rPr>
        <w:t xml:space="preserve">Покретна имовина </w:t>
      </w:r>
      <w:r w:rsidRPr="00A66A37">
        <w:rPr>
          <w:color w:val="000000"/>
          <w:sz w:val="22"/>
          <w:szCs w:val="22"/>
        </w:rPr>
        <w:t>- канцеларијски намештај, опрема, инвентар и резервни делови</w:t>
      </w:r>
      <w:r w:rsidR="00704F3D" w:rsidRPr="00A66A37">
        <w:rPr>
          <w:color w:val="000000"/>
          <w:sz w:val="22"/>
          <w:szCs w:val="22"/>
        </w:rPr>
        <w:t>;</w:t>
      </w:r>
    </w:p>
    <w:p w:rsidR="00704F3D" w:rsidRPr="00A66A37" w:rsidRDefault="00A66A37" w:rsidP="00DC49C8">
      <w:pPr>
        <w:pStyle w:val="ListParagraph"/>
        <w:numPr>
          <w:ilvl w:val="0"/>
          <w:numId w:val="16"/>
        </w:numPr>
        <w:tabs>
          <w:tab w:val="left" w:pos="284"/>
        </w:tabs>
        <w:spacing w:line="259" w:lineRule="auto"/>
        <w:jc w:val="both"/>
        <w:rPr>
          <w:color w:val="000000"/>
          <w:sz w:val="22"/>
          <w:szCs w:val="22"/>
        </w:rPr>
      </w:pPr>
      <w:r w:rsidRPr="00A66A37">
        <w:rPr>
          <w:b/>
          <w:bCs/>
          <w:iCs/>
          <w:noProof/>
          <w:sz w:val="22"/>
          <w:szCs w:val="22"/>
          <w:lang w:val="sr-Latn-CS"/>
        </w:rPr>
        <w:t>Потр</w:t>
      </w:r>
      <w:r w:rsidRPr="00A66A37">
        <w:rPr>
          <w:b/>
          <w:bCs/>
          <w:iCs/>
          <w:noProof/>
          <w:sz w:val="22"/>
          <w:szCs w:val="22"/>
        </w:rPr>
        <w:t>а</w:t>
      </w:r>
      <w:r w:rsidRPr="00A66A37">
        <w:rPr>
          <w:b/>
          <w:bCs/>
          <w:iCs/>
          <w:noProof/>
          <w:sz w:val="22"/>
          <w:szCs w:val="22"/>
          <w:lang w:val="sr-Latn-CS"/>
        </w:rPr>
        <w:t>живања од купаца</w:t>
      </w:r>
      <w:r w:rsidRPr="00A66A37">
        <w:rPr>
          <w:b/>
          <w:bCs/>
          <w:iCs/>
          <w:noProof/>
          <w:sz w:val="22"/>
          <w:szCs w:val="22"/>
        </w:rPr>
        <w:t>;</w:t>
      </w:r>
    </w:p>
    <w:p w:rsidR="00A66A37" w:rsidRPr="00A66A37" w:rsidRDefault="00A66A37" w:rsidP="00DC49C8">
      <w:pPr>
        <w:pStyle w:val="ListParagraph"/>
        <w:numPr>
          <w:ilvl w:val="0"/>
          <w:numId w:val="16"/>
        </w:numPr>
        <w:tabs>
          <w:tab w:val="left" w:pos="284"/>
        </w:tabs>
        <w:spacing w:line="259" w:lineRule="auto"/>
        <w:jc w:val="both"/>
        <w:rPr>
          <w:color w:val="000000"/>
          <w:sz w:val="22"/>
          <w:szCs w:val="22"/>
        </w:rPr>
      </w:pPr>
      <w:r w:rsidRPr="00A66A37">
        <w:rPr>
          <w:b/>
          <w:noProof/>
          <w:sz w:val="22"/>
          <w:szCs w:val="22"/>
          <w:lang w:val="sr-Latn-CS"/>
        </w:rPr>
        <w:t>Дугорочни финансиј</w:t>
      </w:r>
      <w:r w:rsidR="00FC49A8">
        <w:rPr>
          <w:b/>
          <w:noProof/>
          <w:sz w:val="22"/>
          <w:szCs w:val="22"/>
        </w:rPr>
        <w:t>с</w:t>
      </w:r>
      <w:r w:rsidRPr="00A66A37">
        <w:rPr>
          <w:b/>
          <w:noProof/>
          <w:sz w:val="22"/>
          <w:szCs w:val="22"/>
          <w:lang w:val="sr-Latn-CS"/>
        </w:rPr>
        <w:t>ки пласмани (удели и акције у другим правним лицима)</w:t>
      </w:r>
      <w:r w:rsidRPr="00A66A37">
        <w:rPr>
          <w:b/>
          <w:noProof/>
          <w:sz w:val="22"/>
          <w:szCs w:val="22"/>
        </w:rPr>
        <w:t>.</w:t>
      </w:r>
    </w:p>
    <w:p w:rsidR="00F86DA8" w:rsidRPr="00A66A37" w:rsidRDefault="00F86DA8" w:rsidP="000C3D26">
      <w:pPr>
        <w:tabs>
          <w:tab w:val="left" w:pos="284"/>
        </w:tabs>
        <w:spacing w:line="259" w:lineRule="auto"/>
        <w:jc w:val="both"/>
        <w:rPr>
          <w:color w:val="000000"/>
          <w:sz w:val="22"/>
          <w:szCs w:val="22"/>
          <w:lang w:val="sr-Cyrl-CS"/>
        </w:rPr>
      </w:pPr>
    </w:p>
    <w:p w:rsidR="00F86DA8" w:rsidRPr="00A66A37" w:rsidRDefault="00F86DA8" w:rsidP="000C3D26">
      <w:pPr>
        <w:tabs>
          <w:tab w:val="left" w:pos="284"/>
        </w:tabs>
        <w:spacing w:line="259" w:lineRule="auto"/>
        <w:jc w:val="both"/>
        <w:rPr>
          <w:b/>
          <w:bCs/>
          <w:color w:val="000000"/>
          <w:sz w:val="22"/>
          <w:szCs w:val="22"/>
        </w:rPr>
      </w:pPr>
      <w:r w:rsidRPr="00A66A37">
        <w:rPr>
          <w:b/>
          <w:bCs/>
          <w:color w:val="000000"/>
          <w:sz w:val="22"/>
          <w:szCs w:val="22"/>
        </w:rPr>
        <w:t>Почетна цена:</w:t>
      </w:r>
      <w:r w:rsidRPr="00A66A37">
        <w:rPr>
          <w:b/>
          <w:bCs/>
          <w:color w:val="000000"/>
          <w:sz w:val="22"/>
          <w:szCs w:val="22"/>
          <w:lang w:val="sr-Cyrl-CS"/>
        </w:rPr>
        <w:t xml:space="preserve"> 21.</w:t>
      </w:r>
      <w:r w:rsidRPr="00A66A37">
        <w:rPr>
          <w:b/>
          <w:bCs/>
          <w:color w:val="000000"/>
          <w:sz w:val="22"/>
          <w:szCs w:val="22"/>
        </w:rPr>
        <w:t>024.176</w:t>
      </w:r>
      <w:r w:rsidRPr="00A66A37">
        <w:rPr>
          <w:b/>
          <w:bCs/>
          <w:color w:val="000000"/>
          <w:sz w:val="22"/>
          <w:szCs w:val="22"/>
          <w:lang w:val="sr-Cyrl-CS"/>
        </w:rPr>
        <w:t xml:space="preserve">,50 </w:t>
      </w:r>
      <w:r w:rsidRPr="00A66A37">
        <w:rPr>
          <w:b/>
          <w:bCs/>
          <w:color w:val="000000"/>
          <w:sz w:val="22"/>
          <w:szCs w:val="22"/>
        </w:rPr>
        <w:t xml:space="preserve"> динара</w:t>
      </w:r>
    </w:p>
    <w:p w:rsidR="00F86DA8" w:rsidRPr="00A66A37" w:rsidRDefault="00F86DA8" w:rsidP="000C3D26">
      <w:pPr>
        <w:tabs>
          <w:tab w:val="left" w:pos="284"/>
        </w:tabs>
        <w:spacing w:line="259" w:lineRule="auto"/>
        <w:jc w:val="both"/>
        <w:rPr>
          <w:b/>
          <w:bCs/>
          <w:color w:val="000000"/>
          <w:sz w:val="22"/>
          <w:szCs w:val="22"/>
        </w:rPr>
      </w:pPr>
      <w:r w:rsidRPr="00A66A37">
        <w:rPr>
          <w:b/>
          <w:bCs/>
          <w:color w:val="000000"/>
          <w:sz w:val="22"/>
          <w:szCs w:val="22"/>
        </w:rPr>
        <w:t xml:space="preserve">Депозит: </w:t>
      </w:r>
      <w:r w:rsidRPr="00A66A37">
        <w:rPr>
          <w:b/>
          <w:bCs/>
          <w:color w:val="000000"/>
          <w:sz w:val="22"/>
          <w:szCs w:val="22"/>
          <w:lang w:val="sr-Cyrl-CS"/>
        </w:rPr>
        <w:t>8.</w:t>
      </w:r>
      <w:r w:rsidRPr="00A66A37">
        <w:rPr>
          <w:b/>
          <w:bCs/>
          <w:color w:val="000000"/>
          <w:sz w:val="22"/>
          <w:szCs w:val="22"/>
        </w:rPr>
        <w:t>409.670</w:t>
      </w:r>
      <w:r w:rsidRPr="00A66A37">
        <w:rPr>
          <w:b/>
          <w:bCs/>
          <w:color w:val="000000"/>
          <w:sz w:val="22"/>
          <w:szCs w:val="22"/>
          <w:lang w:val="sr-Cyrl-CS"/>
        </w:rPr>
        <w:t>,</w:t>
      </w:r>
      <w:r w:rsidRPr="00A66A37">
        <w:rPr>
          <w:b/>
          <w:bCs/>
          <w:color w:val="000000"/>
          <w:sz w:val="22"/>
          <w:szCs w:val="22"/>
        </w:rPr>
        <w:t>6</w:t>
      </w:r>
      <w:r w:rsidRPr="00A66A37">
        <w:rPr>
          <w:b/>
          <w:bCs/>
          <w:color w:val="000000"/>
          <w:sz w:val="22"/>
          <w:szCs w:val="22"/>
          <w:lang w:val="sr-Cyrl-CS"/>
        </w:rPr>
        <w:t>0</w:t>
      </w:r>
      <w:r w:rsidRPr="00A66A37">
        <w:rPr>
          <w:b/>
          <w:bCs/>
          <w:color w:val="000000"/>
          <w:sz w:val="22"/>
          <w:szCs w:val="22"/>
          <w:lang w:val="sr-Latn-CS"/>
        </w:rPr>
        <w:t xml:space="preserve"> </w:t>
      </w:r>
      <w:r w:rsidRPr="00A66A37">
        <w:rPr>
          <w:b/>
          <w:bCs/>
          <w:color w:val="000000"/>
          <w:sz w:val="22"/>
          <w:szCs w:val="22"/>
        </w:rPr>
        <w:t xml:space="preserve">динара </w:t>
      </w:r>
    </w:p>
    <w:p w:rsidR="00F86DA8" w:rsidRPr="00A66A37" w:rsidRDefault="00F86DA8" w:rsidP="00527CF5">
      <w:pPr>
        <w:pStyle w:val="BodyText"/>
        <w:rPr>
          <w:color w:val="auto"/>
          <w:sz w:val="22"/>
          <w:szCs w:val="22"/>
        </w:rPr>
      </w:pPr>
    </w:p>
    <w:p w:rsidR="00F86DA8" w:rsidRPr="00A66A37" w:rsidRDefault="00F86DA8" w:rsidP="005E5484">
      <w:pPr>
        <w:jc w:val="both"/>
        <w:rPr>
          <w:i/>
          <w:iCs/>
          <w:sz w:val="22"/>
          <w:szCs w:val="22"/>
        </w:rPr>
      </w:pPr>
      <w:r w:rsidRPr="00A66A37">
        <w:rPr>
          <w:sz w:val="22"/>
          <w:szCs w:val="22"/>
          <w:lang w:val="ru-RU"/>
        </w:rPr>
        <w:t>(</w:t>
      </w:r>
      <w:r w:rsidRPr="00A66A37">
        <w:rPr>
          <w:i/>
          <w:iCs/>
          <w:sz w:val="22"/>
          <w:szCs w:val="22"/>
          <w:lang w:val="sr-Cyrl-CS"/>
        </w:rPr>
        <w:t>Напомена: Списак целокупне имовине стечајног дужника, као и статус исте, детаљно је приказан у Продајној документацији)</w:t>
      </w:r>
    </w:p>
    <w:p w:rsidR="00F86DA8" w:rsidRPr="00A66A37" w:rsidRDefault="00F86DA8" w:rsidP="005775B2">
      <w:pPr>
        <w:jc w:val="both"/>
        <w:rPr>
          <w:sz w:val="22"/>
          <w:szCs w:val="22"/>
        </w:rPr>
      </w:pPr>
    </w:p>
    <w:p w:rsidR="00F86DA8" w:rsidRPr="00A66A37" w:rsidRDefault="00F86DA8" w:rsidP="005775B2">
      <w:pPr>
        <w:jc w:val="both"/>
        <w:rPr>
          <w:sz w:val="22"/>
          <w:szCs w:val="22"/>
          <w:lang w:val="sr-Cyrl-CS"/>
        </w:rPr>
      </w:pPr>
      <w:r w:rsidRPr="00A66A37">
        <w:rPr>
          <w:sz w:val="22"/>
          <w:szCs w:val="22"/>
          <w:lang w:val="sr-Cyrl-CS"/>
        </w:rPr>
        <w:t>Право на учешће у поступку продаје имају сва правна и физичка лица</w:t>
      </w:r>
      <w:r w:rsidRPr="00A66A37">
        <w:rPr>
          <w:sz w:val="22"/>
          <w:szCs w:val="22"/>
          <w:lang w:val="ru-RU"/>
        </w:rPr>
        <w:t xml:space="preserve"> </w:t>
      </w:r>
      <w:r w:rsidRPr="00A66A37">
        <w:rPr>
          <w:sz w:val="22"/>
          <w:szCs w:val="22"/>
          <w:lang w:val="sr-Cyrl-CS"/>
        </w:rPr>
        <w:t>која:</w:t>
      </w:r>
    </w:p>
    <w:p w:rsidR="00F86DA8" w:rsidRPr="00A66A37" w:rsidRDefault="00F86DA8" w:rsidP="005775B2">
      <w:pPr>
        <w:numPr>
          <w:ilvl w:val="0"/>
          <w:numId w:val="10"/>
        </w:numPr>
        <w:jc w:val="both"/>
        <w:rPr>
          <w:sz w:val="22"/>
          <w:szCs w:val="22"/>
          <w:lang w:val="sr-Cyrl-CS"/>
        </w:rPr>
      </w:pPr>
      <w:r w:rsidRPr="00A66A37">
        <w:rPr>
          <w:sz w:val="22"/>
          <w:szCs w:val="22"/>
          <w:lang w:val="sr-Cyrl-CS"/>
        </w:rPr>
        <w:t xml:space="preserve">након добијања профактуре, изврше уплату  ради откупа продајне документације у износу од </w:t>
      </w:r>
      <w:r w:rsidRPr="00A66A37">
        <w:rPr>
          <w:b/>
          <w:bCs/>
          <w:color w:val="000000"/>
          <w:sz w:val="22"/>
          <w:szCs w:val="22"/>
          <w:lang w:val="sr-Cyrl-CS"/>
        </w:rPr>
        <w:t>50.000,00</w:t>
      </w:r>
      <w:r w:rsidRPr="00A66A37">
        <w:rPr>
          <w:color w:val="000000"/>
          <w:sz w:val="22"/>
          <w:szCs w:val="22"/>
          <w:lang w:val="sr-Cyrl-CS"/>
        </w:rPr>
        <w:t xml:space="preserve"> </w:t>
      </w:r>
      <w:r w:rsidRPr="00A66A37">
        <w:rPr>
          <w:b/>
          <w:bCs/>
          <w:color w:val="000000"/>
          <w:sz w:val="22"/>
          <w:szCs w:val="22"/>
          <w:lang w:val="sr-Cyrl-CS"/>
        </w:rPr>
        <w:t>динара</w:t>
      </w:r>
      <w:r w:rsidRPr="00A66A37">
        <w:rPr>
          <w:sz w:val="22"/>
          <w:szCs w:val="22"/>
          <w:lang w:val="sr-Cyrl-CS"/>
        </w:rPr>
        <w:t>. Профактура се може преузети сваког радног дана у периоду од 09</w:t>
      </w:r>
      <w:r w:rsidRPr="00A66A37">
        <w:rPr>
          <w:sz w:val="22"/>
          <w:szCs w:val="22"/>
          <w:vertAlign w:val="superscript"/>
          <w:lang w:val="sr-Cyrl-CS"/>
        </w:rPr>
        <w:t>00</w:t>
      </w:r>
      <w:r w:rsidRPr="00A66A37">
        <w:rPr>
          <w:sz w:val="22"/>
          <w:szCs w:val="22"/>
          <w:lang w:val="sr-Cyrl-CS"/>
        </w:rPr>
        <w:t xml:space="preserve"> до 15</w:t>
      </w:r>
      <w:r w:rsidRPr="00A66A37">
        <w:rPr>
          <w:sz w:val="22"/>
          <w:szCs w:val="22"/>
          <w:vertAlign w:val="superscript"/>
          <w:lang w:val="sr-Cyrl-CS"/>
        </w:rPr>
        <w:t>00</w:t>
      </w:r>
      <w:r w:rsidRPr="00A66A37">
        <w:rPr>
          <w:sz w:val="22"/>
          <w:szCs w:val="22"/>
          <w:lang w:val="sr-Cyrl-CS"/>
        </w:rPr>
        <w:t xml:space="preserve"> часова у Београду, ул. Кнеза Милоша бр. 60. Рок за откуп продајне документације је </w:t>
      </w:r>
      <w:r w:rsidRPr="00A66A37">
        <w:rPr>
          <w:b/>
          <w:bCs/>
          <w:color w:val="000000"/>
          <w:sz w:val="22"/>
          <w:szCs w:val="22"/>
          <w:lang w:val="sr-Cyrl-CS"/>
        </w:rPr>
        <w:t>23</w:t>
      </w:r>
      <w:r w:rsidRPr="00A66A37">
        <w:rPr>
          <w:b/>
          <w:bCs/>
          <w:color w:val="000000"/>
          <w:sz w:val="22"/>
          <w:szCs w:val="22"/>
          <w:lang w:val="sr-Latn-CS"/>
        </w:rPr>
        <w:t>.0</w:t>
      </w:r>
      <w:r w:rsidRPr="00A66A37">
        <w:rPr>
          <w:b/>
          <w:bCs/>
          <w:color w:val="000000"/>
          <w:sz w:val="22"/>
          <w:szCs w:val="22"/>
          <w:lang w:val="sr-Cyrl-CS"/>
        </w:rPr>
        <w:t>9</w:t>
      </w:r>
      <w:r w:rsidRPr="00A66A37">
        <w:rPr>
          <w:b/>
          <w:bCs/>
          <w:color w:val="000000"/>
          <w:sz w:val="22"/>
          <w:szCs w:val="22"/>
          <w:lang w:val="sr-Latn-CS"/>
        </w:rPr>
        <w:t>.2015</w:t>
      </w:r>
      <w:r w:rsidRPr="00A66A37">
        <w:rPr>
          <w:b/>
          <w:bCs/>
          <w:color w:val="000000"/>
          <w:sz w:val="22"/>
          <w:szCs w:val="22"/>
          <w:lang w:val="sr-Cyrl-CS"/>
        </w:rPr>
        <w:t>. године</w:t>
      </w:r>
      <w:r w:rsidRPr="00A66A37">
        <w:rPr>
          <w:color w:val="000000"/>
          <w:sz w:val="22"/>
          <w:szCs w:val="22"/>
          <w:lang w:val="sr-Cyrl-CS"/>
        </w:rPr>
        <w:t>;</w:t>
      </w:r>
    </w:p>
    <w:p w:rsidR="00F86DA8" w:rsidRPr="00A66A37" w:rsidRDefault="00F86DA8" w:rsidP="005775B2">
      <w:pPr>
        <w:pStyle w:val="ListParagraph"/>
        <w:numPr>
          <w:ilvl w:val="0"/>
          <w:numId w:val="10"/>
        </w:numPr>
        <w:suppressAutoHyphens w:val="0"/>
        <w:jc w:val="both"/>
        <w:rPr>
          <w:sz w:val="22"/>
          <w:szCs w:val="22"/>
        </w:rPr>
      </w:pPr>
      <w:r w:rsidRPr="00A66A37">
        <w:rPr>
          <w:sz w:val="22"/>
          <w:szCs w:val="22"/>
        </w:rPr>
        <w:t xml:space="preserve">уплате </w:t>
      </w:r>
      <w:r w:rsidRPr="00A66A37">
        <w:rPr>
          <w:b/>
          <w:bCs/>
          <w:sz w:val="22"/>
          <w:szCs w:val="22"/>
        </w:rPr>
        <w:t>депозит</w:t>
      </w:r>
      <w:r w:rsidRPr="00A66A37">
        <w:rPr>
          <w:sz w:val="22"/>
          <w:szCs w:val="22"/>
        </w:rPr>
        <w:t xml:space="preserve"> на текући рачун стечајног дужника број:</w:t>
      </w:r>
      <w:r w:rsidRPr="00A66A37">
        <w:rPr>
          <w:b/>
          <w:bCs/>
          <w:color w:val="0070C0"/>
          <w:sz w:val="22"/>
          <w:szCs w:val="22"/>
        </w:rPr>
        <w:t xml:space="preserve"> </w:t>
      </w:r>
      <w:r w:rsidRPr="00A66A37">
        <w:rPr>
          <w:b/>
          <w:bCs/>
          <w:color w:val="000000"/>
          <w:sz w:val="22"/>
          <w:szCs w:val="22"/>
        </w:rPr>
        <w:t xml:space="preserve">165-7004936099-24  </w:t>
      </w:r>
      <w:r w:rsidRPr="00A66A37">
        <w:rPr>
          <w:color w:val="000000"/>
          <w:sz w:val="22"/>
          <w:szCs w:val="22"/>
        </w:rPr>
        <w:t xml:space="preserve">код </w:t>
      </w:r>
      <w:r w:rsidRPr="00A66A37">
        <w:rPr>
          <w:color w:val="000000"/>
          <w:sz w:val="22"/>
          <w:szCs w:val="22"/>
          <w:lang w:val="sr-Latn-CS"/>
        </w:rPr>
        <w:t>Hypo Alpe-Adria-Bank</w:t>
      </w:r>
      <w:r w:rsidRPr="00A66A37">
        <w:rPr>
          <w:color w:val="000000"/>
          <w:sz w:val="22"/>
          <w:szCs w:val="22"/>
        </w:rPr>
        <w:t xml:space="preserve"> а.д. Београд</w:t>
      </w:r>
      <w:r w:rsidRPr="00A66A37">
        <w:rPr>
          <w:b/>
          <w:bCs/>
          <w:color w:val="000000"/>
          <w:sz w:val="22"/>
          <w:szCs w:val="22"/>
        </w:rPr>
        <w:t xml:space="preserve"> </w:t>
      </w:r>
      <w:r w:rsidRPr="00A66A37">
        <w:rPr>
          <w:color w:val="000000"/>
          <w:sz w:val="22"/>
          <w:szCs w:val="22"/>
        </w:rPr>
        <w:t xml:space="preserve"> </w:t>
      </w:r>
      <w:r w:rsidRPr="00A66A37">
        <w:rPr>
          <w:sz w:val="22"/>
          <w:szCs w:val="22"/>
        </w:rPr>
        <w:t xml:space="preserve">или положе неопозиву првокласну банкарску гаранцију наплативу </w:t>
      </w:r>
      <w:r w:rsidRPr="00A66A37">
        <w:rPr>
          <w:sz w:val="22"/>
          <w:szCs w:val="22"/>
        </w:rPr>
        <w:lastRenderedPageBreak/>
        <w:t>на први позив, најкасније</w:t>
      </w:r>
      <w:r w:rsidRPr="00A66A37">
        <w:rPr>
          <w:sz w:val="22"/>
          <w:szCs w:val="22"/>
          <w:lang w:val="sr-Latn-CS"/>
        </w:rPr>
        <w:t xml:space="preserve"> </w:t>
      </w:r>
      <w:r w:rsidRPr="00A66A37">
        <w:rPr>
          <w:b/>
          <w:bCs/>
          <w:sz w:val="22"/>
          <w:szCs w:val="22"/>
        </w:rPr>
        <w:t>5 радних дана</w:t>
      </w:r>
      <w:r w:rsidRPr="00A66A37">
        <w:rPr>
          <w:sz w:val="22"/>
          <w:szCs w:val="22"/>
        </w:rPr>
        <w:t xml:space="preserve"> пре одржавања продаје (рок за уплату депозита истиче закључно са  </w:t>
      </w:r>
      <w:r w:rsidRPr="00A66A37">
        <w:rPr>
          <w:b/>
          <w:bCs/>
          <w:color w:val="000000"/>
          <w:sz w:val="22"/>
          <w:szCs w:val="22"/>
        </w:rPr>
        <w:t>23</w:t>
      </w:r>
      <w:r w:rsidRPr="00A66A37">
        <w:rPr>
          <w:b/>
          <w:bCs/>
          <w:color w:val="000000"/>
          <w:sz w:val="22"/>
          <w:szCs w:val="22"/>
          <w:lang w:val="sr-Latn-CS"/>
        </w:rPr>
        <w:t>.0</w:t>
      </w:r>
      <w:r w:rsidRPr="00A66A37">
        <w:rPr>
          <w:b/>
          <w:bCs/>
          <w:color w:val="000000"/>
          <w:sz w:val="22"/>
          <w:szCs w:val="22"/>
        </w:rPr>
        <w:t>9</w:t>
      </w:r>
      <w:r w:rsidRPr="00A66A37">
        <w:rPr>
          <w:b/>
          <w:bCs/>
          <w:color w:val="000000"/>
          <w:sz w:val="22"/>
          <w:szCs w:val="22"/>
          <w:lang w:val="sr-Latn-CS"/>
        </w:rPr>
        <w:t>.2015</w:t>
      </w:r>
      <w:r w:rsidRPr="00A66A37">
        <w:rPr>
          <w:b/>
          <w:bCs/>
          <w:color w:val="000000"/>
          <w:sz w:val="22"/>
          <w:szCs w:val="22"/>
        </w:rPr>
        <w:t>. године</w:t>
      </w:r>
      <w:r w:rsidRPr="00A66A37">
        <w:rPr>
          <w:sz w:val="22"/>
          <w:szCs w:val="22"/>
        </w:rPr>
        <w:t>). У случају да се као депозит положи првокласна банкарска гаранција, ор</w:t>
      </w:r>
      <w:r w:rsidRPr="00A66A37">
        <w:rPr>
          <w:sz w:val="22"/>
          <w:szCs w:val="22"/>
          <w:lang w:val="sr-Latn-CS"/>
        </w:rPr>
        <w:t>и</w:t>
      </w:r>
      <w:r w:rsidRPr="00A66A37">
        <w:rPr>
          <w:sz w:val="22"/>
          <w:szCs w:val="22"/>
        </w:rPr>
        <w:t>гинал исте се ради провере мора доставити искључиво лично Служби финансија Агенције за приватизацију, Теразије 23, VI</w:t>
      </w:r>
      <w:r w:rsidRPr="00A66A37">
        <w:rPr>
          <w:b/>
          <w:bCs/>
          <w:sz w:val="22"/>
          <w:szCs w:val="22"/>
        </w:rPr>
        <w:t xml:space="preserve"> </w:t>
      </w:r>
      <w:r w:rsidRPr="00A66A37">
        <w:rPr>
          <w:sz w:val="22"/>
          <w:szCs w:val="22"/>
        </w:rPr>
        <w:t xml:space="preserve">спрат, соба број 610, Београд, закључно са </w:t>
      </w:r>
      <w:r w:rsidRPr="00A66A37">
        <w:rPr>
          <w:b/>
          <w:bCs/>
          <w:color w:val="000000"/>
          <w:sz w:val="22"/>
          <w:szCs w:val="22"/>
        </w:rPr>
        <w:t>23</w:t>
      </w:r>
      <w:r w:rsidRPr="00A66A37">
        <w:rPr>
          <w:b/>
          <w:bCs/>
          <w:color w:val="000000"/>
          <w:sz w:val="22"/>
          <w:szCs w:val="22"/>
          <w:lang w:val="sr-Latn-CS"/>
        </w:rPr>
        <w:t>.0</w:t>
      </w:r>
      <w:r w:rsidRPr="00A66A37">
        <w:rPr>
          <w:b/>
          <w:bCs/>
          <w:color w:val="000000"/>
          <w:sz w:val="22"/>
          <w:szCs w:val="22"/>
        </w:rPr>
        <w:t>9</w:t>
      </w:r>
      <w:r w:rsidRPr="00A66A37">
        <w:rPr>
          <w:b/>
          <w:bCs/>
          <w:color w:val="000000"/>
          <w:sz w:val="22"/>
          <w:szCs w:val="22"/>
          <w:lang w:val="sr-Latn-CS"/>
        </w:rPr>
        <w:t>.2015</w:t>
      </w:r>
      <w:r w:rsidRPr="00A66A37">
        <w:rPr>
          <w:b/>
          <w:bCs/>
          <w:color w:val="000000"/>
          <w:sz w:val="22"/>
          <w:szCs w:val="22"/>
        </w:rPr>
        <w:t>. г</w:t>
      </w:r>
      <w:r w:rsidRPr="00A66A37">
        <w:rPr>
          <w:b/>
          <w:bCs/>
          <w:color w:val="000000"/>
          <w:sz w:val="22"/>
          <w:szCs w:val="22"/>
          <w:lang w:val="sr-Latn-CS"/>
        </w:rPr>
        <w:t>одине</w:t>
      </w:r>
      <w:r w:rsidRPr="00A66A37">
        <w:rPr>
          <w:sz w:val="22"/>
          <w:szCs w:val="22"/>
        </w:rPr>
        <w:t xml:space="preserve"> до 15</w:t>
      </w:r>
      <w:r w:rsidRPr="00A66A37">
        <w:rPr>
          <w:sz w:val="22"/>
          <w:szCs w:val="22"/>
          <w:vertAlign w:val="superscript"/>
        </w:rPr>
        <w:t>00</w:t>
      </w:r>
      <w:r w:rsidRPr="00A66A37">
        <w:rPr>
          <w:sz w:val="22"/>
          <w:szCs w:val="22"/>
        </w:rPr>
        <w:t xml:space="preserve"> часова по београдском времену (</w:t>
      </w:r>
      <w:r w:rsidRPr="00A66A37">
        <w:rPr>
          <w:sz w:val="22"/>
          <w:szCs w:val="22"/>
          <w:lang w:val="sr-Latn-CS"/>
        </w:rPr>
        <w:t>GMT+1)</w:t>
      </w:r>
      <w:r w:rsidRPr="00A66A37">
        <w:rPr>
          <w:sz w:val="22"/>
          <w:szCs w:val="22"/>
        </w:rPr>
        <w:t xml:space="preserve">. У обзир ће се узети само банкарске гаранције које пристигну на назначену адресу у назначено време. Банкарска гаранција мора имати </w:t>
      </w:r>
      <w:r w:rsidRPr="00A66A37">
        <w:rPr>
          <w:b/>
          <w:bCs/>
          <w:sz w:val="22"/>
          <w:szCs w:val="22"/>
        </w:rPr>
        <w:t xml:space="preserve">рок важења до </w:t>
      </w:r>
      <w:r w:rsidRPr="00A66A37">
        <w:rPr>
          <w:b/>
          <w:bCs/>
          <w:color w:val="000000"/>
          <w:sz w:val="22"/>
          <w:szCs w:val="22"/>
        </w:rPr>
        <w:t>30.11.2015.</w:t>
      </w:r>
      <w:r w:rsidRPr="00A66A37">
        <w:rPr>
          <w:b/>
          <w:bCs/>
          <w:sz w:val="22"/>
          <w:szCs w:val="22"/>
        </w:rPr>
        <w:t xml:space="preserve"> </w:t>
      </w:r>
      <w:r w:rsidRPr="00A66A37">
        <w:rPr>
          <w:sz w:val="22"/>
          <w:szCs w:val="22"/>
        </w:rPr>
        <w:t xml:space="preserve">године. У случају да на јавном надметању победи Купац који је депозит обезбедио банкарском гаранцијом, исти мора измирити износ депозита у року од </w:t>
      </w:r>
      <w:r w:rsidR="00704F3D" w:rsidRPr="00A66A37">
        <w:rPr>
          <w:b/>
          <w:bCs/>
          <w:sz w:val="22"/>
          <w:szCs w:val="22"/>
        </w:rPr>
        <w:t>2 радна дана</w:t>
      </w:r>
      <w:r w:rsidRPr="00A66A37">
        <w:rPr>
          <w:sz w:val="22"/>
          <w:szCs w:val="22"/>
        </w:rPr>
        <w:t xml:space="preserve"> од дана јавног надметања, а пре потписивања купопродајног уговора у законом предвиђеној форми, након чега ће му бити враћена гаранција;</w:t>
      </w:r>
    </w:p>
    <w:p w:rsidR="00F86DA8" w:rsidRDefault="00F86DA8" w:rsidP="005775B2">
      <w:pPr>
        <w:numPr>
          <w:ilvl w:val="0"/>
          <w:numId w:val="10"/>
        </w:numPr>
        <w:jc w:val="both"/>
        <w:rPr>
          <w:sz w:val="22"/>
          <w:szCs w:val="22"/>
          <w:lang w:val="sr-Cyrl-CS"/>
        </w:rPr>
      </w:pPr>
      <w:r w:rsidRPr="00A66A37">
        <w:rPr>
          <w:sz w:val="22"/>
          <w:szCs w:val="22"/>
          <w:lang w:val="sr-Cyrl-CS"/>
        </w:rPr>
        <w:t>потпишу изјаву о губитку права на повраћај депозита. Изјава чини саст</w:t>
      </w:r>
      <w:r w:rsidR="00AD1354">
        <w:rPr>
          <w:sz w:val="22"/>
          <w:szCs w:val="22"/>
          <w:lang w:val="sr-Cyrl-CS"/>
        </w:rPr>
        <w:t>авни део продајне документације;</w:t>
      </w:r>
    </w:p>
    <w:p w:rsidR="00AD1354" w:rsidRPr="00A66A37" w:rsidRDefault="00AD1354" w:rsidP="005775B2">
      <w:pPr>
        <w:numPr>
          <w:ilvl w:val="0"/>
          <w:numId w:val="10"/>
        </w:numPr>
        <w:jc w:val="both"/>
        <w:rPr>
          <w:sz w:val="22"/>
          <w:szCs w:val="22"/>
          <w:lang w:val="sr-Cyrl-CS"/>
        </w:rPr>
      </w:pPr>
      <w:r>
        <w:rPr>
          <w:sz w:val="22"/>
          <w:szCs w:val="22"/>
          <w:lang w:val="sr-Cyrl-CS"/>
        </w:rPr>
        <w:t>потпишу уговор о чувању поверљивих података приликом преузимања продајне документације.</w:t>
      </w:r>
    </w:p>
    <w:p w:rsidR="00F86DA8" w:rsidRPr="00A66A37" w:rsidRDefault="00F86DA8" w:rsidP="005775B2">
      <w:pPr>
        <w:jc w:val="both"/>
        <w:rPr>
          <w:sz w:val="22"/>
          <w:szCs w:val="22"/>
          <w:lang w:val="sr-Cyrl-CS"/>
        </w:rPr>
      </w:pPr>
    </w:p>
    <w:p w:rsidR="00F86DA8" w:rsidRPr="00A66A37" w:rsidRDefault="00F86DA8" w:rsidP="005775B2">
      <w:pPr>
        <w:jc w:val="both"/>
        <w:rPr>
          <w:sz w:val="22"/>
          <w:szCs w:val="22"/>
          <w:lang w:val="sr-Cyrl-CS"/>
        </w:rPr>
      </w:pPr>
      <w:r w:rsidRPr="00A66A37">
        <w:rPr>
          <w:sz w:val="22"/>
          <w:szCs w:val="22"/>
          <w:lang w:val="sr-Cyrl-CS"/>
        </w:rPr>
        <w:t xml:space="preserve">Стечајни дужник се купује у виђеном стању, а његова имовина може се разгледати након откупа продајне документације, </w:t>
      </w:r>
      <w:r w:rsidRPr="00A66A37">
        <w:rPr>
          <w:sz w:val="22"/>
          <w:szCs w:val="22"/>
          <w:lang w:val="ru-RU"/>
        </w:rPr>
        <w:t xml:space="preserve">сваким радним даном од  </w:t>
      </w:r>
      <w:r w:rsidRPr="00A66A37">
        <w:rPr>
          <w:sz w:val="22"/>
          <w:szCs w:val="22"/>
          <w:lang w:val="sr-Cyrl-CS"/>
        </w:rPr>
        <w:t>09</w:t>
      </w:r>
      <w:r w:rsidRPr="00A66A37">
        <w:rPr>
          <w:sz w:val="22"/>
          <w:szCs w:val="22"/>
          <w:vertAlign w:val="superscript"/>
          <w:lang w:val="sr-Cyrl-CS"/>
        </w:rPr>
        <w:t>00</w:t>
      </w:r>
      <w:r w:rsidRPr="00A66A37">
        <w:rPr>
          <w:sz w:val="22"/>
          <w:szCs w:val="22"/>
          <w:lang w:val="sr-Cyrl-CS"/>
        </w:rPr>
        <w:t xml:space="preserve"> до 15</w:t>
      </w:r>
      <w:r w:rsidRPr="00A66A37">
        <w:rPr>
          <w:sz w:val="22"/>
          <w:szCs w:val="22"/>
          <w:vertAlign w:val="superscript"/>
          <w:lang w:val="sr-Cyrl-CS"/>
        </w:rPr>
        <w:t>00</w:t>
      </w:r>
      <w:r w:rsidRPr="00A66A37">
        <w:rPr>
          <w:sz w:val="22"/>
          <w:szCs w:val="22"/>
          <w:lang w:val="sr-Cyrl-CS"/>
        </w:rPr>
        <w:t xml:space="preserve"> часова,</w:t>
      </w:r>
      <w:r w:rsidRPr="00A66A37">
        <w:rPr>
          <w:sz w:val="22"/>
          <w:szCs w:val="22"/>
          <w:lang w:val="ru-RU"/>
        </w:rPr>
        <w:t xml:space="preserve">  </w:t>
      </w:r>
      <w:r w:rsidRPr="00A66A37">
        <w:rPr>
          <w:sz w:val="22"/>
          <w:szCs w:val="22"/>
          <w:lang w:val="sr-Cyrl-CS"/>
        </w:rPr>
        <w:t xml:space="preserve">а најкасније </w:t>
      </w:r>
      <w:r w:rsidRPr="00A66A37">
        <w:rPr>
          <w:sz w:val="22"/>
          <w:szCs w:val="22"/>
          <w:lang w:val="ru-RU"/>
        </w:rPr>
        <w:t>7</w:t>
      </w:r>
      <w:r w:rsidRPr="00A66A37">
        <w:rPr>
          <w:sz w:val="22"/>
          <w:szCs w:val="22"/>
          <w:lang w:val="sr-Latn-CS"/>
        </w:rPr>
        <w:t xml:space="preserve"> </w:t>
      </w:r>
      <w:r w:rsidRPr="00A66A37">
        <w:rPr>
          <w:sz w:val="22"/>
          <w:szCs w:val="22"/>
          <w:lang w:val="sr-Cyrl-CS"/>
        </w:rPr>
        <w:t>дана пре заказане продаје</w:t>
      </w:r>
      <w:r w:rsidRPr="00A66A37">
        <w:rPr>
          <w:sz w:val="22"/>
          <w:szCs w:val="22"/>
          <w:lang w:val="ru-RU"/>
        </w:rPr>
        <w:t xml:space="preserve"> (уз претходну најаву</w:t>
      </w:r>
      <w:r w:rsidR="00AD1354">
        <w:rPr>
          <w:sz w:val="22"/>
          <w:szCs w:val="22"/>
          <w:lang w:val="ru-RU"/>
        </w:rPr>
        <w:t xml:space="preserve"> поверенику</w:t>
      </w:r>
      <w:r w:rsidRPr="00A66A37">
        <w:rPr>
          <w:sz w:val="22"/>
          <w:szCs w:val="22"/>
          <w:lang w:val="ru-RU"/>
        </w:rPr>
        <w:t xml:space="preserve"> </w:t>
      </w:r>
      <w:r w:rsidRPr="00A66A37">
        <w:rPr>
          <w:sz w:val="22"/>
          <w:szCs w:val="22"/>
          <w:lang w:val="sr-Cyrl-CS"/>
        </w:rPr>
        <w:t>стечајно</w:t>
      </w:r>
      <w:r w:rsidR="00AD1354">
        <w:rPr>
          <w:sz w:val="22"/>
          <w:szCs w:val="22"/>
          <w:lang w:val="sr-Cyrl-CS"/>
        </w:rPr>
        <w:t>г</w:t>
      </w:r>
      <w:r w:rsidRPr="00A66A37">
        <w:rPr>
          <w:sz w:val="22"/>
          <w:szCs w:val="22"/>
          <w:lang w:val="sr-Cyrl-CS"/>
        </w:rPr>
        <w:t xml:space="preserve"> управник</w:t>
      </w:r>
      <w:r w:rsidR="00AD1354">
        <w:rPr>
          <w:sz w:val="22"/>
          <w:szCs w:val="22"/>
          <w:lang w:val="sr-Cyrl-CS"/>
        </w:rPr>
        <w:t>а</w:t>
      </w:r>
      <w:r w:rsidRPr="00A66A37">
        <w:rPr>
          <w:sz w:val="22"/>
          <w:szCs w:val="22"/>
          <w:lang w:val="sr-Cyrl-CS"/>
        </w:rPr>
        <w:t>).</w:t>
      </w:r>
    </w:p>
    <w:p w:rsidR="00F86DA8" w:rsidRPr="00A66A37" w:rsidRDefault="00F86DA8" w:rsidP="005775B2">
      <w:pPr>
        <w:jc w:val="both"/>
        <w:rPr>
          <w:sz w:val="22"/>
          <w:szCs w:val="22"/>
          <w:lang w:val="sr-Cyrl-CS"/>
        </w:rPr>
      </w:pPr>
    </w:p>
    <w:p w:rsidR="00F86DA8" w:rsidRPr="00A66A37" w:rsidRDefault="00F86DA8" w:rsidP="005775B2">
      <w:pPr>
        <w:jc w:val="both"/>
        <w:rPr>
          <w:sz w:val="22"/>
          <w:szCs w:val="22"/>
          <w:lang w:val="sr-Cyrl-CS"/>
        </w:rPr>
      </w:pPr>
      <w:r w:rsidRPr="00A66A37">
        <w:rPr>
          <w:sz w:val="22"/>
          <w:szCs w:val="22"/>
          <w:lang w:val="sr-Cyrl-CS"/>
        </w:rPr>
        <w:t>Након уплате депозита</w:t>
      </w:r>
      <w:r w:rsidRPr="00A66A37">
        <w:rPr>
          <w:sz w:val="22"/>
          <w:szCs w:val="22"/>
        </w:rPr>
        <w:t xml:space="preserve">, а најкасније </w:t>
      </w:r>
      <w:r w:rsidRPr="00A66A37">
        <w:rPr>
          <w:b/>
          <w:bCs/>
          <w:sz w:val="22"/>
          <w:szCs w:val="22"/>
        </w:rPr>
        <w:t xml:space="preserve">5 радних дана пре одржавања јавног надметања </w:t>
      </w:r>
      <w:r w:rsidRPr="00A66A37">
        <w:rPr>
          <w:b/>
          <w:bCs/>
          <w:sz w:val="22"/>
          <w:szCs w:val="22"/>
          <w:lang w:val="sr-Cyrl-CS"/>
        </w:rPr>
        <w:t>(</w:t>
      </w:r>
      <w:r w:rsidRPr="00A66A37">
        <w:rPr>
          <w:sz w:val="22"/>
          <w:szCs w:val="22"/>
        </w:rPr>
        <w:t xml:space="preserve">закључно са </w:t>
      </w:r>
      <w:r w:rsidRPr="00A66A37">
        <w:rPr>
          <w:color w:val="000000"/>
          <w:sz w:val="22"/>
          <w:szCs w:val="22"/>
          <w:lang w:val="sr-Cyrl-CS"/>
        </w:rPr>
        <w:t>23</w:t>
      </w:r>
      <w:r w:rsidRPr="00A66A37">
        <w:rPr>
          <w:color w:val="000000"/>
          <w:sz w:val="22"/>
          <w:szCs w:val="22"/>
          <w:lang w:val="sr-Latn-CS"/>
        </w:rPr>
        <w:t>.0</w:t>
      </w:r>
      <w:r w:rsidRPr="00A66A37">
        <w:rPr>
          <w:color w:val="000000"/>
          <w:sz w:val="22"/>
          <w:szCs w:val="22"/>
          <w:lang w:val="sr-Cyrl-CS"/>
        </w:rPr>
        <w:t>9</w:t>
      </w:r>
      <w:r w:rsidRPr="00A66A37">
        <w:rPr>
          <w:color w:val="000000"/>
          <w:sz w:val="22"/>
          <w:szCs w:val="22"/>
          <w:lang w:val="sr-Latn-CS"/>
        </w:rPr>
        <w:t>.2015</w:t>
      </w:r>
      <w:r w:rsidRPr="00A66A37">
        <w:rPr>
          <w:color w:val="000000"/>
          <w:sz w:val="22"/>
          <w:szCs w:val="22"/>
          <w:lang w:val="sr-Cyrl-CS"/>
        </w:rPr>
        <w:t>.</w:t>
      </w:r>
      <w:r w:rsidRPr="00A66A37">
        <w:rPr>
          <w:b/>
          <w:bCs/>
          <w:color w:val="000000"/>
          <w:sz w:val="22"/>
          <w:szCs w:val="22"/>
          <w:lang w:val="sr-Cyrl-CS"/>
        </w:rPr>
        <w:t xml:space="preserve"> </w:t>
      </w:r>
      <w:r w:rsidRPr="00A66A37">
        <w:rPr>
          <w:sz w:val="22"/>
          <w:szCs w:val="22"/>
        </w:rPr>
        <w:t>године</w:t>
      </w:r>
      <w:r w:rsidRPr="00A66A37">
        <w:rPr>
          <w:sz w:val="22"/>
          <w:szCs w:val="22"/>
          <w:lang w:val="sr-Cyrl-CS"/>
        </w:rPr>
        <w:t>)</w:t>
      </w:r>
      <w:r w:rsidRPr="00A66A37">
        <w:rPr>
          <w:sz w:val="22"/>
          <w:szCs w:val="22"/>
        </w:rPr>
        <w:t xml:space="preserve">, </w:t>
      </w:r>
      <w:r w:rsidRPr="00A66A37">
        <w:rPr>
          <w:sz w:val="22"/>
          <w:szCs w:val="22"/>
          <w:lang w:val="sr-Cyrl-CS"/>
        </w:rPr>
        <w:t xml:space="preserve">потенцијални купци, ради </w:t>
      </w:r>
      <w:r w:rsidRPr="00A66A37">
        <w:rPr>
          <w:sz w:val="22"/>
          <w:szCs w:val="22"/>
        </w:rPr>
        <w:t xml:space="preserve">благовремене </w:t>
      </w:r>
      <w:r w:rsidRPr="00A66A37">
        <w:rPr>
          <w:sz w:val="22"/>
          <w:szCs w:val="22"/>
          <w:lang w:val="sr-Cyrl-CS"/>
        </w:rPr>
        <w:t>евиденције, морају предати поверенику Агенције за приватизацију:</w:t>
      </w:r>
      <w:r w:rsidRPr="00A66A37">
        <w:rPr>
          <w:sz w:val="22"/>
          <w:szCs w:val="22"/>
          <w:lang w:val="sr-Cyrl-BA"/>
        </w:rPr>
        <w:t xml:space="preserve"> попуњен </w:t>
      </w:r>
      <w:r w:rsidRPr="00A66A37">
        <w:rPr>
          <w:sz w:val="22"/>
          <w:szCs w:val="22"/>
          <w:lang w:val="sr-Cyrl-CS"/>
        </w:rPr>
        <w:t>образац пријаве за учешће</w:t>
      </w:r>
      <w:r w:rsidRPr="00A66A37">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A66A37">
        <w:rPr>
          <w:sz w:val="22"/>
          <w:szCs w:val="22"/>
          <w:lang w:val="sr-Cyrl-CS"/>
        </w:rPr>
        <w:t>извод из регистра привредних субјеката и ОП образац (ако се као потенцијални купац пријављује правно лице)</w:t>
      </w:r>
      <w:r w:rsidRPr="00A66A37">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A66A37">
        <w:rPr>
          <w:sz w:val="22"/>
          <w:szCs w:val="22"/>
          <w:lang w:val="sr-Cyrl-CS"/>
        </w:rPr>
        <w:t>.</w:t>
      </w:r>
    </w:p>
    <w:p w:rsidR="00F86DA8" w:rsidRPr="00A66A37" w:rsidRDefault="00F86DA8" w:rsidP="005775B2">
      <w:pPr>
        <w:jc w:val="both"/>
        <w:rPr>
          <w:color w:val="000000"/>
          <w:sz w:val="22"/>
          <w:szCs w:val="22"/>
          <w:lang w:val="sr-Cyrl-CS"/>
        </w:rPr>
      </w:pPr>
    </w:p>
    <w:p w:rsidR="00F86DA8" w:rsidRPr="00A66A37" w:rsidRDefault="00F86DA8" w:rsidP="005775B2">
      <w:pPr>
        <w:jc w:val="both"/>
        <w:rPr>
          <w:sz w:val="22"/>
          <w:szCs w:val="22"/>
          <w:lang w:val="sr-Cyrl-CS"/>
        </w:rPr>
      </w:pPr>
      <w:r w:rsidRPr="00A66A37">
        <w:rPr>
          <w:b/>
          <w:bCs/>
          <w:sz w:val="22"/>
          <w:szCs w:val="22"/>
          <w:lang w:val="sr-Cyrl-CS"/>
        </w:rPr>
        <w:t>Јавно надметање</w:t>
      </w:r>
      <w:r w:rsidRPr="00A66A37">
        <w:rPr>
          <w:sz w:val="22"/>
          <w:szCs w:val="22"/>
          <w:lang w:val="sr-Cyrl-CS"/>
        </w:rPr>
        <w:t xml:space="preserve"> одржаће се дана </w:t>
      </w:r>
      <w:r w:rsidRPr="00A66A37">
        <w:rPr>
          <w:b/>
          <w:bCs/>
          <w:color w:val="000000"/>
          <w:sz w:val="22"/>
          <w:szCs w:val="22"/>
          <w:lang w:val="sr-Cyrl-CS"/>
        </w:rPr>
        <w:t>30</w:t>
      </w:r>
      <w:r w:rsidRPr="00A66A37">
        <w:rPr>
          <w:b/>
          <w:bCs/>
          <w:color w:val="000000"/>
          <w:sz w:val="22"/>
          <w:szCs w:val="22"/>
          <w:lang w:val="sr-Latn-CS"/>
        </w:rPr>
        <w:t>.0</w:t>
      </w:r>
      <w:r w:rsidRPr="00A66A37">
        <w:rPr>
          <w:b/>
          <w:bCs/>
          <w:color w:val="000000"/>
          <w:sz w:val="22"/>
          <w:szCs w:val="22"/>
          <w:lang w:val="sr-Cyrl-CS"/>
        </w:rPr>
        <w:t>9</w:t>
      </w:r>
      <w:r w:rsidRPr="00A66A37">
        <w:rPr>
          <w:b/>
          <w:bCs/>
          <w:color w:val="000000"/>
          <w:sz w:val="22"/>
          <w:szCs w:val="22"/>
          <w:lang w:val="sr-Latn-CS"/>
        </w:rPr>
        <w:t>.2015</w:t>
      </w:r>
      <w:r w:rsidRPr="00A66A37">
        <w:rPr>
          <w:b/>
          <w:bCs/>
          <w:color w:val="000000"/>
          <w:sz w:val="22"/>
          <w:szCs w:val="22"/>
          <w:lang w:val="sr-Cyrl-CS"/>
        </w:rPr>
        <w:t>. године у</w:t>
      </w:r>
      <w:r w:rsidRPr="00A66A37">
        <w:rPr>
          <w:color w:val="000000"/>
          <w:sz w:val="22"/>
          <w:szCs w:val="22"/>
          <w:lang w:val="sr-Cyrl-CS"/>
        </w:rPr>
        <w:t xml:space="preserve"> </w:t>
      </w:r>
      <w:r w:rsidRPr="00A66A37">
        <w:rPr>
          <w:b/>
          <w:bCs/>
          <w:color w:val="000000"/>
          <w:sz w:val="22"/>
          <w:szCs w:val="22"/>
          <w:lang w:val="sr-Cyrl-CS"/>
        </w:rPr>
        <w:t>12</w:t>
      </w:r>
      <w:r w:rsidRPr="00A66A37">
        <w:rPr>
          <w:b/>
          <w:bCs/>
          <w:color w:val="000000"/>
          <w:sz w:val="22"/>
          <w:szCs w:val="22"/>
          <w:vertAlign w:val="superscript"/>
          <w:lang w:val="sr-Cyrl-CS"/>
        </w:rPr>
        <w:t>00</w:t>
      </w:r>
      <w:r w:rsidRPr="00A66A37">
        <w:rPr>
          <w:b/>
          <w:bCs/>
          <w:sz w:val="22"/>
          <w:szCs w:val="22"/>
          <w:lang w:val="sr-Cyrl-CS"/>
        </w:rPr>
        <w:t xml:space="preserve"> часова</w:t>
      </w:r>
      <w:r w:rsidRPr="00A66A37">
        <w:rPr>
          <w:sz w:val="22"/>
          <w:szCs w:val="22"/>
          <w:lang w:val="sr-Cyrl-CS"/>
        </w:rPr>
        <w:t xml:space="preserve"> на следећој адреси: </w:t>
      </w:r>
      <w:r w:rsidRPr="00A66A37">
        <w:rPr>
          <w:b/>
          <w:bCs/>
          <w:sz w:val="22"/>
          <w:szCs w:val="22"/>
          <w:lang w:val="sr-Cyrl-CS"/>
        </w:rPr>
        <w:t>Агенција за приватизацију, Београд, Теразије бр. 23, III спрат.</w:t>
      </w:r>
    </w:p>
    <w:p w:rsidR="00F86DA8" w:rsidRPr="00A66A37" w:rsidRDefault="00F86DA8" w:rsidP="005775B2">
      <w:pPr>
        <w:jc w:val="both"/>
        <w:rPr>
          <w:b/>
          <w:bCs/>
          <w:sz w:val="22"/>
          <w:szCs w:val="22"/>
        </w:rPr>
      </w:pPr>
    </w:p>
    <w:p w:rsidR="00F86DA8" w:rsidRPr="00A66A37" w:rsidRDefault="00F86DA8" w:rsidP="005775B2">
      <w:pPr>
        <w:jc w:val="both"/>
        <w:rPr>
          <w:sz w:val="22"/>
          <w:szCs w:val="22"/>
        </w:rPr>
      </w:pPr>
      <w:r w:rsidRPr="00A66A37">
        <w:rPr>
          <w:b/>
          <w:bCs/>
          <w:sz w:val="22"/>
          <w:szCs w:val="22"/>
          <w:lang w:val="sr-Cyrl-CS"/>
        </w:rPr>
        <w:t xml:space="preserve">Регистрација учесника </w:t>
      </w:r>
      <w:r w:rsidRPr="00A66A37">
        <w:rPr>
          <w:sz w:val="22"/>
          <w:szCs w:val="22"/>
          <w:lang w:val="sr-Cyrl-CS"/>
        </w:rPr>
        <w:t xml:space="preserve">почиње </w:t>
      </w:r>
      <w:r w:rsidRPr="00A66A37">
        <w:rPr>
          <w:b/>
          <w:bCs/>
          <w:sz w:val="22"/>
          <w:szCs w:val="22"/>
          <w:lang w:val="sr-Cyrl-CS"/>
        </w:rPr>
        <w:t xml:space="preserve">два сата </w:t>
      </w:r>
      <w:r w:rsidRPr="00A66A37">
        <w:rPr>
          <w:sz w:val="22"/>
          <w:szCs w:val="22"/>
          <w:lang w:val="sr-Cyrl-CS"/>
        </w:rPr>
        <w:t xml:space="preserve">пре почетка јавног надметања, а завршава се </w:t>
      </w:r>
      <w:r w:rsidRPr="00A66A37">
        <w:rPr>
          <w:b/>
          <w:bCs/>
          <w:sz w:val="22"/>
          <w:szCs w:val="22"/>
          <w:lang w:val="sr-Cyrl-CS"/>
        </w:rPr>
        <w:t xml:space="preserve">10 минута </w:t>
      </w:r>
      <w:r w:rsidRPr="00A66A37">
        <w:rPr>
          <w:sz w:val="22"/>
          <w:szCs w:val="22"/>
          <w:lang w:val="sr-Cyrl-CS"/>
        </w:rPr>
        <w:t xml:space="preserve">пре почетка јавног надметања, односно у периоду </w:t>
      </w:r>
      <w:r w:rsidRPr="00A66A37">
        <w:rPr>
          <w:color w:val="000000"/>
          <w:sz w:val="22"/>
          <w:szCs w:val="22"/>
          <w:lang w:val="sr-Cyrl-CS"/>
        </w:rPr>
        <w:t xml:space="preserve">од </w:t>
      </w:r>
      <w:r w:rsidRPr="00A66A37">
        <w:rPr>
          <w:b/>
          <w:bCs/>
          <w:color w:val="000000"/>
          <w:sz w:val="22"/>
          <w:szCs w:val="22"/>
          <w:lang w:val="sr-Cyrl-CS"/>
        </w:rPr>
        <w:t>10</w:t>
      </w:r>
      <w:r w:rsidRPr="00A66A37">
        <w:rPr>
          <w:b/>
          <w:bCs/>
          <w:color w:val="000000"/>
          <w:sz w:val="22"/>
          <w:szCs w:val="22"/>
          <w:vertAlign w:val="superscript"/>
          <w:lang w:val="sr-Cyrl-CS"/>
        </w:rPr>
        <w:t>00</w:t>
      </w:r>
      <w:r w:rsidRPr="00A66A37">
        <w:rPr>
          <w:b/>
          <w:bCs/>
          <w:color w:val="000000"/>
          <w:sz w:val="22"/>
          <w:szCs w:val="22"/>
          <w:lang w:val="sr-Cyrl-CS"/>
        </w:rPr>
        <w:t xml:space="preserve"> </w:t>
      </w:r>
      <w:r w:rsidRPr="00A66A37">
        <w:rPr>
          <w:color w:val="000000"/>
          <w:sz w:val="22"/>
          <w:szCs w:val="22"/>
          <w:lang w:val="sr-Cyrl-CS"/>
        </w:rPr>
        <w:t xml:space="preserve">до </w:t>
      </w:r>
      <w:r w:rsidRPr="00A66A37">
        <w:rPr>
          <w:b/>
          <w:bCs/>
          <w:color w:val="000000"/>
          <w:sz w:val="22"/>
          <w:szCs w:val="22"/>
          <w:lang w:val="sr-Cyrl-CS"/>
        </w:rPr>
        <w:t>11</w:t>
      </w:r>
      <w:r w:rsidRPr="00A66A37">
        <w:rPr>
          <w:b/>
          <w:bCs/>
          <w:color w:val="000000"/>
          <w:sz w:val="22"/>
          <w:szCs w:val="22"/>
          <w:vertAlign w:val="superscript"/>
          <w:lang w:val="sr-Cyrl-CS"/>
        </w:rPr>
        <w:t>50</w:t>
      </w:r>
      <w:r w:rsidRPr="00A66A37">
        <w:rPr>
          <w:b/>
          <w:bCs/>
          <w:color w:val="000000"/>
          <w:sz w:val="22"/>
          <w:szCs w:val="22"/>
          <w:lang w:val="sr-Cyrl-CS"/>
        </w:rPr>
        <w:t xml:space="preserve"> </w:t>
      </w:r>
      <w:r w:rsidRPr="00A66A37">
        <w:rPr>
          <w:color w:val="000000"/>
          <w:sz w:val="22"/>
          <w:szCs w:val="22"/>
          <w:lang w:val="sr-Cyrl-CS"/>
        </w:rPr>
        <w:t>часова</w:t>
      </w:r>
      <w:r w:rsidRPr="00A66A37">
        <w:rPr>
          <w:sz w:val="22"/>
          <w:szCs w:val="22"/>
          <w:lang w:val="sr-Cyrl-CS"/>
        </w:rPr>
        <w:t>, на истој адреси.</w:t>
      </w:r>
    </w:p>
    <w:p w:rsidR="00F86DA8" w:rsidRPr="00A66A37" w:rsidRDefault="00F86DA8" w:rsidP="005775B2">
      <w:pPr>
        <w:jc w:val="both"/>
        <w:rPr>
          <w:sz w:val="22"/>
          <w:szCs w:val="22"/>
        </w:rPr>
      </w:pPr>
    </w:p>
    <w:p w:rsidR="00F86DA8" w:rsidRPr="00A66A37" w:rsidRDefault="00F86DA8" w:rsidP="00527CF5">
      <w:pPr>
        <w:jc w:val="both"/>
        <w:rPr>
          <w:sz w:val="22"/>
          <w:szCs w:val="22"/>
          <w:lang w:val="sr-Cyrl-CS"/>
        </w:rPr>
      </w:pPr>
      <w:r w:rsidRPr="00A66A37">
        <w:rPr>
          <w:sz w:val="22"/>
          <w:szCs w:val="22"/>
          <w:lang w:val="sr-Cyrl-CS"/>
        </w:rPr>
        <w:t>Стечајни управник спроводи јавно надметање тако што:</w:t>
      </w:r>
    </w:p>
    <w:p w:rsidR="00F86DA8" w:rsidRPr="00A66A37" w:rsidRDefault="00F86DA8" w:rsidP="00527CF5">
      <w:pPr>
        <w:numPr>
          <w:ilvl w:val="0"/>
          <w:numId w:val="9"/>
        </w:numPr>
        <w:suppressAutoHyphens/>
        <w:jc w:val="both"/>
        <w:rPr>
          <w:sz w:val="22"/>
          <w:szCs w:val="22"/>
          <w:lang w:val="sr-Cyrl-CS"/>
        </w:rPr>
      </w:pPr>
      <w:r w:rsidRPr="00A66A37">
        <w:rPr>
          <w:sz w:val="22"/>
          <w:szCs w:val="22"/>
          <w:lang w:val="sr-Cyrl-CS"/>
        </w:rPr>
        <w:t>региструје лица која имају право учешћа на јавном надметању (имају овлашћења или су лично присутна);</w:t>
      </w:r>
    </w:p>
    <w:p w:rsidR="00F86DA8" w:rsidRPr="00A66A37" w:rsidRDefault="00F86DA8" w:rsidP="00527CF5">
      <w:pPr>
        <w:numPr>
          <w:ilvl w:val="0"/>
          <w:numId w:val="9"/>
        </w:numPr>
        <w:suppressAutoHyphens/>
        <w:jc w:val="both"/>
        <w:rPr>
          <w:sz w:val="22"/>
          <w:szCs w:val="22"/>
          <w:lang w:val="sr-Cyrl-CS"/>
        </w:rPr>
      </w:pPr>
      <w:r w:rsidRPr="00A66A37">
        <w:rPr>
          <w:sz w:val="22"/>
          <w:szCs w:val="22"/>
          <w:lang w:val="sr-Cyrl-CS"/>
        </w:rPr>
        <w:t>отвара јавно надметање читајући правила надметања;</w:t>
      </w:r>
    </w:p>
    <w:p w:rsidR="00F86DA8" w:rsidRPr="00A66A37" w:rsidRDefault="00F86DA8" w:rsidP="00527CF5">
      <w:pPr>
        <w:numPr>
          <w:ilvl w:val="0"/>
          <w:numId w:val="9"/>
        </w:numPr>
        <w:suppressAutoHyphens/>
        <w:jc w:val="both"/>
        <w:rPr>
          <w:sz w:val="22"/>
          <w:szCs w:val="22"/>
          <w:lang w:val="sr-Cyrl-CS"/>
        </w:rPr>
      </w:pPr>
      <w:r w:rsidRPr="00A66A37">
        <w:rPr>
          <w:sz w:val="22"/>
          <w:szCs w:val="22"/>
          <w:lang w:val="sr-Cyrl-CS"/>
        </w:rPr>
        <w:t>позива учеснике да прихвате понуђену цену према унапред утврђеним корацима увећања;</w:t>
      </w:r>
    </w:p>
    <w:p w:rsidR="00F86DA8" w:rsidRPr="00A66A37" w:rsidRDefault="00F86DA8" w:rsidP="00527CF5">
      <w:pPr>
        <w:numPr>
          <w:ilvl w:val="0"/>
          <w:numId w:val="9"/>
        </w:numPr>
        <w:suppressAutoHyphens/>
        <w:jc w:val="both"/>
        <w:rPr>
          <w:sz w:val="22"/>
          <w:szCs w:val="22"/>
          <w:lang w:val="sr-Cyrl-CS"/>
        </w:rPr>
      </w:pPr>
      <w:r w:rsidRPr="00A66A37">
        <w:rPr>
          <w:sz w:val="22"/>
          <w:szCs w:val="22"/>
          <w:lang w:val="sr-Cyrl-CS"/>
        </w:rPr>
        <w:t>одржава ред на јавном надметању;</w:t>
      </w:r>
    </w:p>
    <w:p w:rsidR="00F86DA8" w:rsidRPr="00A66A37" w:rsidRDefault="00F86DA8" w:rsidP="00527CF5">
      <w:pPr>
        <w:numPr>
          <w:ilvl w:val="0"/>
          <w:numId w:val="9"/>
        </w:numPr>
        <w:suppressAutoHyphens/>
        <w:jc w:val="both"/>
        <w:rPr>
          <w:sz w:val="22"/>
          <w:szCs w:val="22"/>
          <w:lang w:val="sr-Cyrl-CS"/>
        </w:rPr>
      </w:pPr>
      <w:r w:rsidRPr="00A66A37">
        <w:rPr>
          <w:sz w:val="22"/>
          <w:szCs w:val="22"/>
          <w:lang w:val="sr-Cyrl-CS"/>
        </w:rPr>
        <w:t xml:space="preserve">проглашава за купца учесника који је прихватио највишу понуђену цену; </w:t>
      </w:r>
    </w:p>
    <w:p w:rsidR="00F86DA8" w:rsidRPr="00A66A37" w:rsidRDefault="00F86DA8" w:rsidP="00527CF5">
      <w:pPr>
        <w:numPr>
          <w:ilvl w:val="0"/>
          <w:numId w:val="9"/>
        </w:numPr>
        <w:suppressAutoHyphens/>
        <w:jc w:val="both"/>
        <w:rPr>
          <w:sz w:val="22"/>
          <w:szCs w:val="22"/>
          <w:lang w:val="sr-Cyrl-CS"/>
        </w:rPr>
      </w:pPr>
      <w:r w:rsidRPr="00A66A37">
        <w:rPr>
          <w:sz w:val="22"/>
          <w:szCs w:val="22"/>
          <w:lang w:val="sr-Cyrl-CS"/>
        </w:rPr>
        <w:t>потписује записник.</w:t>
      </w:r>
    </w:p>
    <w:p w:rsidR="00F86DA8" w:rsidRPr="00A66A37" w:rsidRDefault="00F86DA8" w:rsidP="00527CF5">
      <w:pPr>
        <w:jc w:val="both"/>
        <w:rPr>
          <w:sz w:val="22"/>
          <w:szCs w:val="22"/>
          <w:lang w:val="sr-Cyrl-CS"/>
        </w:rPr>
      </w:pPr>
    </w:p>
    <w:p w:rsidR="00F86DA8" w:rsidRPr="00A66A37" w:rsidRDefault="00F86DA8" w:rsidP="00527CF5">
      <w:pPr>
        <w:pStyle w:val="ListParagraph"/>
        <w:ind w:left="0"/>
        <w:jc w:val="both"/>
        <w:rPr>
          <w:sz w:val="22"/>
          <w:szCs w:val="22"/>
        </w:rPr>
      </w:pPr>
      <w:r w:rsidRPr="00A66A37">
        <w:rPr>
          <w:sz w:val="22"/>
          <w:szCs w:val="22"/>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F86DA8" w:rsidRPr="00A66A37" w:rsidRDefault="00F86DA8" w:rsidP="00527CF5">
      <w:pPr>
        <w:jc w:val="both"/>
        <w:rPr>
          <w:sz w:val="22"/>
          <w:szCs w:val="22"/>
          <w:lang w:val="sr-Cyrl-CS"/>
        </w:rPr>
      </w:pPr>
    </w:p>
    <w:p w:rsidR="00F86DA8" w:rsidRPr="00A66A37" w:rsidRDefault="00F86DA8" w:rsidP="00527CF5">
      <w:pPr>
        <w:pStyle w:val="ListParagraph"/>
        <w:ind w:left="0"/>
        <w:jc w:val="both"/>
        <w:rPr>
          <w:sz w:val="22"/>
          <w:szCs w:val="22"/>
        </w:rPr>
      </w:pPr>
      <w:r w:rsidRPr="00A66A37">
        <w:rPr>
          <w:sz w:val="22"/>
          <w:szCs w:val="22"/>
        </w:rPr>
        <w:t xml:space="preserve">Закључењу купопродајног уговора у законом прописаној форми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A66A37">
        <w:rPr>
          <w:b/>
          <w:bCs/>
          <w:sz w:val="22"/>
          <w:szCs w:val="22"/>
        </w:rPr>
        <w:t>30 дана</w:t>
      </w:r>
      <w:r w:rsidRPr="00A66A37">
        <w:rPr>
          <w:b/>
          <w:bCs/>
          <w:sz w:val="22"/>
          <w:szCs w:val="22"/>
          <w:lang w:val="en-US"/>
        </w:rPr>
        <w:t>,</w:t>
      </w:r>
      <w:r w:rsidRPr="00A66A37">
        <w:rPr>
          <w:b/>
          <w:bCs/>
          <w:sz w:val="22"/>
          <w:szCs w:val="22"/>
        </w:rPr>
        <w:t xml:space="preserve"> </w:t>
      </w:r>
      <w:r w:rsidRPr="00A66A37">
        <w:rPr>
          <w:sz w:val="22"/>
          <w:szCs w:val="22"/>
          <w:lang w:val="ru-RU"/>
        </w:rPr>
        <w:t>од</w:t>
      </w:r>
      <w:r w:rsidRPr="00A66A37">
        <w:rPr>
          <w:sz w:val="22"/>
          <w:szCs w:val="22"/>
          <w:lang w:val="sr-Latn-CS"/>
        </w:rPr>
        <w:t xml:space="preserve"> </w:t>
      </w:r>
      <w:r w:rsidRPr="00A66A37">
        <w:rPr>
          <w:sz w:val="22"/>
          <w:szCs w:val="22"/>
          <w:lang w:val="ru-RU"/>
        </w:rPr>
        <w:t>дана</w:t>
      </w:r>
      <w:r w:rsidRPr="00A66A37">
        <w:rPr>
          <w:sz w:val="22"/>
          <w:szCs w:val="22"/>
        </w:rPr>
        <w:t xml:space="preserve"> сачињавања купопродајног уговора у законом одређеној форми. Ако проглашени купац одбије да потпише купопродајни уговор у законом одређеној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w:t>
      </w:r>
      <w:r w:rsidRPr="00A66A37">
        <w:rPr>
          <w:sz w:val="22"/>
          <w:szCs w:val="22"/>
        </w:rPr>
        <w:lastRenderedPageBreak/>
        <w:t xml:space="preserve">стечајног дужника у року од два радна дана од пријема обавештења којим се проглашава за купца, након чега ће му бити враћена гаранција. </w:t>
      </w:r>
    </w:p>
    <w:p w:rsidR="00F86DA8" w:rsidRPr="00A66A37" w:rsidRDefault="00F86DA8" w:rsidP="00527CF5">
      <w:pPr>
        <w:jc w:val="both"/>
        <w:rPr>
          <w:sz w:val="22"/>
          <w:szCs w:val="22"/>
          <w:lang w:val="sr-Cyrl-CS"/>
        </w:rPr>
      </w:pPr>
    </w:p>
    <w:p w:rsidR="00F86DA8" w:rsidRPr="00A66A37" w:rsidRDefault="00F86DA8" w:rsidP="00527CF5">
      <w:pPr>
        <w:jc w:val="both"/>
        <w:rPr>
          <w:sz w:val="22"/>
          <w:szCs w:val="22"/>
          <w:lang w:val="sr-Cyrl-CS"/>
        </w:rPr>
      </w:pPr>
      <w:r w:rsidRPr="00A66A37">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F86DA8" w:rsidRPr="00A66A37" w:rsidRDefault="00F86DA8" w:rsidP="00895B0D">
      <w:pPr>
        <w:jc w:val="both"/>
        <w:rPr>
          <w:sz w:val="22"/>
          <w:szCs w:val="22"/>
          <w:lang w:val="sr-Latn-CS"/>
        </w:rPr>
      </w:pPr>
    </w:p>
    <w:p w:rsidR="00F86DA8" w:rsidRPr="00A66A37" w:rsidRDefault="00F86DA8" w:rsidP="00895B0D">
      <w:pPr>
        <w:jc w:val="both"/>
        <w:rPr>
          <w:sz w:val="22"/>
          <w:szCs w:val="22"/>
          <w:lang w:val="sr-Cyrl-CS"/>
        </w:rPr>
      </w:pPr>
      <w:r w:rsidRPr="00A66A37">
        <w:rPr>
          <w:sz w:val="22"/>
          <w:szCs w:val="22"/>
          <w:lang w:val="sr-Cyrl-CS"/>
        </w:rPr>
        <w:t>Порезе и трошкове који произлазе из закљученог купопродајног уговора у целости сноси купац.</w:t>
      </w:r>
    </w:p>
    <w:p w:rsidR="00F86DA8" w:rsidRPr="00A66A37" w:rsidRDefault="00F86DA8" w:rsidP="00895B0D">
      <w:pPr>
        <w:pStyle w:val="ListParagraph"/>
        <w:ind w:left="0"/>
        <w:jc w:val="both"/>
        <w:rPr>
          <w:sz w:val="22"/>
          <w:szCs w:val="22"/>
          <w:lang w:val="sr-Latn-CS"/>
        </w:rPr>
      </w:pPr>
    </w:p>
    <w:p w:rsidR="00F86DA8" w:rsidRPr="00A66A37" w:rsidRDefault="00F86DA8" w:rsidP="00895B0D">
      <w:pPr>
        <w:pStyle w:val="ListParagraph"/>
        <w:ind w:left="0"/>
        <w:jc w:val="both"/>
        <w:rPr>
          <w:sz w:val="22"/>
          <w:szCs w:val="22"/>
        </w:rPr>
      </w:pPr>
      <w:r w:rsidRPr="00A66A37">
        <w:rPr>
          <w:sz w:val="22"/>
          <w:szCs w:val="22"/>
        </w:rPr>
        <w:t>У случају да за купца у поступку продаје буде проглашено правно или физичко лице које подлеже обавези подношења приј</w:t>
      </w:r>
      <w:r w:rsidR="00704F3D" w:rsidRPr="00A66A37">
        <w:rPr>
          <w:sz w:val="22"/>
          <w:szCs w:val="22"/>
        </w:rPr>
        <w:t>аве концентрације, сходно одред</w:t>
      </w:r>
      <w:r w:rsidRPr="00A66A37">
        <w:rPr>
          <w:sz w:val="22"/>
          <w:szCs w:val="22"/>
        </w:rPr>
        <w:t xml:space="preserve">бама Закона о заштити конкуренције </w:t>
      </w:r>
      <w:r w:rsidR="00704F3D" w:rsidRPr="00A66A37">
        <w:rPr>
          <w:sz w:val="22"/>
          <w:szCs w:val="22"/>
        </w:rPr>
        <w:br/>
      </w:r>
      <w:r w:rsidRPr="00A66A37">
        <w:rPr>
          <w:sz w:val="22"/>
          <w:szCs w:val="22"/>
        </w:rPr>
        <w:t>(„Сл.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F86DA8" w:rsidRPr="00A66A37" w:rsidRDefault="00F86DA8" w:rsidP="00895B0D">
      <w:pPr>
        <w:jc w:val="both"/>
        <w:rPr>
          <w:sz w:val="22"/>
          <w:szCs w:val="22"/>
          <w:lang w:val="sr-Cyrl-CS"/>
        </w:rPr>
      </w:pPr>
    </w:p>
    <w:p w:rsidR="00F86DA8" w:rsidRPr="00A66A37" w:rsidRDefault="00F86DA8" w:rsidP="00527CF5">
      <w:pPr>
        <w:jc w:val="both"/>
        <w:rPr>
          <w:sz w:val="22"/>
          <w:szCs w:val="22"/>
        </w:rPr>
      </w:pPr>
    </w:p>
    <w:p w:rsidR="00F86DA8" w:rsidRPr="00A66A37" w:rsidRDefault="00F86DA8" w:rsidP="00527CF5">
      <w:pPr>
        <w:jc w:val="both"/>
        <w:rPr>
          <w:sz w:val="22"/>
          <w:szCs w:val="22"/>
          <w:lang w:val="sr-Cyrl-CS"/>
        </w:rPr>
      </w:pPr>
      <w:r w:rsidRPr="00A66A37">
        <w:rPr>
          <w:sz w:val="22"/>
          <w:szCs w:val="22"/>
          <w:lang w:val="sr-Cyrl-CS"/>
        </w:rPr>
        <w:t>Напомена: Није дозвољено достављање оригинала банкарске гаранције вршити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F86DA8" w:rsidRPr="00A66A37" w:rsidRDefault="00F86DA8" w:rsidP="00527CF5">
      <w:pPr>
        <w:jc w:val="both"/>
        <w:rPr>
          <w:sz w:val="22"/>
          <w:szCs w:val="22"/>
          <w:lang w:val="sr-Cyrl-CS"/>
        </w:rPr>
      </w:pPr>
    </w:p>
    <w:p w:rsidR="00F86DA8" w:rsidRPr="00A66A37" w:rsidRDefault="00F86DA8" w:rsidP="00527CF5">
      <w:pPr>
        <w:jc w:val="both"/>
        <w:rPr>
          <w:sz w:val="22"/>
          <w:szCs w:val="22"/>
        </w:rPr>
      </w:pPr>
      <w:r w:rsidRPr="00A66A37">
        <w:rPr>
          <w:sz w:val="22"/>
          <w:szCs w:val="22"/>
          <w:lang w:val="sr-Cyrl-CS"/>
        </w:rPr>
        <w:t xml:space="preserve">Овлашћено лице: Повереник </w:t>
      </w:r>
      <w:r w:rsidRPr="00A66A37">
        <w:rPr>
          <w:b/>
          <w:bCs/>
          <w:sz w:val="22"/>
          <w:szCs w:val="22"/>
          <w:lang w:val="sr-Cyrl-CS"/>
        </w:rPr>
        <w:t xml:space="preserve">Драган Перковић, </w:t>
      </w:r>
      <w:r w:rsidRPr="00A66A37">
        <w:rPr>
          <w:sz w:val="22"/>
          <w:szCs w:val="22"/>
          <w:lang w:val="sr-Cyrl-CS"/>
        </w:rPr>
        <w:t>контакт телефон: 011/</w:t>
      </w:r>
      <w:r w:rsidRPr="00A66A37">
        <w:rPr>
          <w:sz w:val="22"/>
          <w:szCs w:val="22"/>
          <w:lang w:val="sr-Latn-CS"/>
        </w:rPr>
        <w:t>26</w:t>
      </w:r>
      <w:r w:rsidRPr="00A66A37">
        <w:rPr>
          <w:sz w:val="22"/>
          <w:szCs w:val="22"/>
          <w:lang w:val="sr-Cyrl-CS"/>
        </w:rPr>
        <w:t>-</w:t>
      </w:r>
      <w:r w:rsidRPr="00A66A37">
        <w:rPr>
          <w:sz w:val="22"/>
          <w:szCs w:val="22"/>
          <w:lang w:val="sr-Latn-CS"/>
        </w:rPr>
        <w:t>88</w:t>
      </w:r>
      <w:r w:rsidRPr="00A66A37">
        <w:rPr>
          <w:sz w:val="22"/>
          <w:szCs w:val="22"/>
          <w:lang w:val="sr-Cyrl-CS"/>
        </w:rPr>
        <w:t>-</w:t>
      </w:r>
      <w:r w:rsidRPr="00A66A37">
        <w:rPr>
          <w:sz w:val="22"/>
          <w:szCs w:val="22"/>
          <w:lang w:val="sr-Latn-CS"/>
        </w:rPr>
        <w:t>108</w:t>
      </w:r>
      <w:r w:rsidRPr="00A66A37">
        <w:rPr>
          <w:sz w:val="22"/>
          <w:szCs w:val="22"/>
          <w:lang w:val="sr-Cyrl-CS"/>
        </w:rPr>
        <w:t>; 063/301-721.</w:t>
      </w:r>
    </w:p>
    <w:p w:rsidR="00F86DA8" w:rsidRPr="00A66A37" w:rsidRDefault="00F86DA8" w:rsidP="00296F6A">
      <w:pPr>
        <w:spacing w:line="276" w:lineRule="auto"/>
        <w:ind w:left="4473" w:right="58" w:firstLine="1287"/>
        <w:jc w:val="both"/>
        <w:rPr>
          <w:sz w:val="22"/>
          <w:szCs w:val="22"/>
          <w:lang w:val="ru-RU"/>
        </w:rPr>
      </w:pPr>
    </w:p>
    <w:p w:rsidR="00F86DA8" w:rsidRPr="00A66A37" w:rsidRDefault="00F86DA8" w:rsidP="00296F6A">
      <w:pPr>
        <w:spacing w:line="276" w:lineRule="auto"/>
        <w:ind w:left="4473" w:right="58" w:firstLine="1287"/>
        <w:jc w:val="both"/>
        <w:rPr>
          <w:b/>
          <w:bCs/>
          <w:sz w:val="22"/>
          <w:szCs w:val="22"/>
          <w:lang w:val="ru-RU"/>
        </w:rPr>
      </w:pPr>
    </w:p>
    <w:p w:rsidR="00F86DA8" w:rsidRPr="00A66A37" w:rsidRDefault="00F86DA8" w:rsidP="00296F6A">
      <w:pPr>
        <w:spacing w:line="276" w:lineRule="auto"/>
        <w:ind w:left="4473" w:right="58" w:firstLine="1287"/>
        <w:jc w:val="both"/>
        <w:rPr>
          <w:b/>
          <w:bCs/>
          <w:sz w:val="22"/>
          <w:szCs w:val="22"/>
          <w:lang w:val="ru-RU"/>
        </w:rPr>
      </w:pPr>
    </w:p>
    <w:p w:rsidR="00F86DA8" w:rsidRPr="00A66A37" w:rsidRDefault="00F86DA8" w:rsidP="00296F6A">
      <w:pPr>
        <w:spacing w:line="276" w:lineRule="auto"/>
        <w:ind w:right="58"/>
        <w:jc w:val="both"/>
        <w:rPr>
          <w:sz w:val="22"/>
          <w:szCs w:val="22"/>
          <w:lang w:val="sr-Cyrl-CS"/>
        </w:rPr>
      </w:pPr>
    </w:p>
    <w:sectPr w:rsidR="00F86DA8" w:rsidRPr="00A66A37" w:rsidSect="005E5484">
      <w:headerReference w:type="default" r:id="rId7"/>
      <w:footerReference w:type="default" r:id="rId8"/>
      <w:pgSz w:w="11909" w:h="16834" w:code="9"/>
      <w:pgMar w:top="142" w:right="852" w:bottom="737" w:left="153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37" w:rsidRDefault="00AB6737">
      <w:r>
        <w:separator/>
      </w:r>
    </w:p>
  </w:endnote>
  <w:endnote w:type="continuationSeparator" w:id="0">
    <w:p w:rsidR="00AB6737" w:rsidRDefault="00AB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A8" w:rsidRPr="00414818" w:rsidRDefault="00F86DA8" w:rsidP="005E1CE8">
    <w:pPr>
      <w:pStyle w:val="Footer"/>
      <w:jc w:val="center"/>
      <w:rPr>
        <w:sz w:val="24"/>
        <w:szCs w:val="24"/>
      </w:rPr>
    </w:pPr>
  </w:p>
  <w:p w:rsidR="00F86DA8" w:rsidRDefault="00E30219" w:rsidP="005E1CE8">
    <w:pPr>
      <w:pStyle w:val="Footer"/>
      <w:jc w:val="center"/>
    </w:pPr>
    <w:r>
      <w:rPr>
        <w:noProof/>
        <w:lang w:val="sr-Latn-RS" w:eastAsia="sr-Latn-RS"/>
      </w:rPr>
      <w:drawing>
        <wp:inline distT="0" distB="0" distL="0" distR="0">
          <wp:extent cx="5010150" cy="17145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171450"/>
                  </a:xfrm>
                  <a:prstGeom prst="rect">
                    <a:avLst/>
                  </a:prstGeom>
                  <a:noFill/>
                  <a:ln>
                    <a:noFill/>
                  </a:ln>
                </pic:spPr>
              </pic:pic>
            </a:graphicData>
          </a:graphic>
        </wp:inline>
      </w:drawing>
    </w:r>
  </w:p>
  <w:p w:rsidR="00F86DA8" w:rsidRPr="002D5179" w:rsidRDefault="00F86DA8" w:rsidP="005E1C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37" w:rsidRDefault="00AB6737">
      <w:r>
        <w:separator/>
      </w:r>
    </w:p>
  </w:footnote>
  <w:footnote w:type="continuationSeparator" w:id="0">
    <w:p w:rsidR="00AB6737" w:rsidRDefault="00AB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A8" w:rsidRDefault="00E30219" w:rsidP="00BD4852">
    <w:pPr>
      <w:pStyle w:val="Header"/>
      <w:ind w:left="-210"/>
      <w:jc w:val="center"/>
    </w:pPr>
    <w:r>
      <w:rPr>
        <w:noProof/>
        <w:lang w:val="sr-Latn-RS" w:eastAsia="sr-Latn-RS"/>
      </w:rPr>
      <w:drawing>
        <wp:inline distT="0" distB="0" distL="0" distR="0">
          <wp:extent cx="1619250" cy="552450"/>
          <wp:effectExtent l="0" t="0" r="0" b="0"/>
          <wp:docPr id="1" name="Picture 15" descr="Zna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k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F86DA8" w:rsidRDefault="00F86DA8" w:rsidP="00BD4852">
    <w:pPr>
      <w:pStyle w:val="Header"/>
      <w:ind w:left="-2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360"/>
        </w:tabs>
        <w:ind w:left="360" w:hanging="360"/>
      </w:pPr>
      <w:rPr>
        <w:rFonts w:ascii="Symbol" w:hAnsi="Symbol" w:cs="Symbol" w:hint="default"/>
        <w:b/>
        <w:bCs/>
      </w:rPr>
    </w:lvl>
    <w:lvl w:ilvl="1">
      <w:numFmt w:val="bullet"/>
      <w:lvlText w:val=""/>
      <w:lvlJc w:val="left"/>
      <w:pPr>
        <w:tabs>
          <w:tab w:val="num" w:pos="720"/>
        </w:tabs>
        <w:ind w:left="1080" w:hanging="360"/>
      </w:pPr>
      <w:rPr>
        <w:rFonts w:ascii="Symbol" w:hAnsi="Symbol" w:cs="Symbol" w:hint="default"/>
        <w:sz w:val="22"/>
        <w:szCs w:val="22"/>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337FE7"/>
    <w:multiLevelType w:val="hybridMultilevel"/>
    <w:tmpl w:val="3848B2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704270D"/>
    <w:multiLevelType w:val="hybridMultilevel"/>
    <w:tmpl w:val="57EEAB1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231E5F47"/>
    <w:multiLevelType w:val="hybridMultilevel"/>
    <w:tmpl w:val="57EEAB1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29BA7979"/>
    <w:multiLevelType w:val="hybridMultilevel"/>
    <w:tmpl w:val="B57A9B1E"/>
    <w:lvl w:ilvl="0" w:tplc="DD7C61B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609338A"/>
    <w:multiLevelType w:val="hybridMultilevel"/>
    <w:tmpl w:val="0B8EBCEC"/>
    <w:lvl w:ilvl="0" w:tplc="04090001">
      <w:start w:val="1"/>
      <w:numFmt w:val="bullet"/>
      <w:lvlText w:val=""/>
      <w:lvlJc w:val="left"/>
      <w:pPr>
        <w:ind w:left="578" w:hanging="360"/>
      </w:pPr>
      <w:rPr>
        <w:rFonts w:ascii="Symbol" w:hAnsi="Symbol" w:cs="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cs="Wingdings" w:hint="default"/>
      </w:rPr>
    </w:lvl>
    <w:lvl w:ilvl="3" w:tplc="04090001">
      <w:start w:val="1"/>
      <w:numFmt w:val="bullet"/>
      <w:lvlText w:val=""/>
      <w:lvlJc w:val="left"/>
      <w:pPr>
        <w:ind w:left="2738" w:hanging="360"/>
      </w:pPr>
      <w:rPr>
        <w:rFonts w:ascii="Symbol" w:hAnsi="Symbol" w:cs="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cs="Wingdings" w:hint="default"/>
      </w:rPr>
    </w:lvl>
    <w:lvl w:ilvl="6" w:tplc="04090001">
      <w:start w:val="1"/>
      <w:numFmt w:val="bullet"/>
      <w:lvlText w:val=""/>
      <w:lvlJc w:val="left"/>
      <w:pPr>
        <w:ind w:left="4898" w:hanging="360"/>
      </w:pPr>
      <w:rPr>
        <w:rFonts w:ascii="Symbol" w:hAnsi="Symbol" w:cs="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cs="Wingdings" w:hint="default"/>
      </w:rPr>
    </w:lvl>
  </w:abstractNum>
  <w:abstractNum w:abstractNumId="9" w15:restartNumberingAfterBreak="0">
    <w:nsid w:val="4CE07885"/>
    <w:multiLevelType w:val="hybridMultilevel"/>
    <w:tmpl w:val="BA0E2F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BDE71DD"/>
    <w:multiLevelType w:val="hybridMultilevel"/>
    <w:tmpl w:val="57EEAB16"/>
    <w:lvl w:ilvl="0" w:tplc="081A000F">
      <w:start w:val="1"/>
      <w:numFmt w:val="decimal"/>
      <w:lvlText w:val="%1."/>
      <w:lvlJc w:val="left"/>
      <w:pPr>
        <w:ind w:left="2520" w:hanging="360"/>
      </w:pPr>
      <w:rPr>
        <w:rFonts w:hint="default"/>
      </w:rPr>
    </w:lvl>
    <w:lvl w:ilvl="1" w:tplc="081A0019">
      <w:start w:val="1"/>
      <w:numFmt w:val="lowerLetter"/>
      <w:lvlText w:val="%2."/>
      <w:lvlJc w:val="left"/>
      <w:pPr>
        <w:ind w:left="3240" w:hanging="360"/>
      </w:pPr>
    </w:lvl>
    <w:lvl w:ilvl="2" w:tplc="081A001B">
      <w:start w:val="1"/>
      <w:numFmt w:val="lowerRoman"/>
      <w:lvlText w:val="%3."/>
      <w:lvlJc w:val="right"/>
      <w:pPr>
        <w:ind w:left="3960" w:hanging="180"/>
      </w:pPr>
    </w:lvl>
    <w:lvl w:ilvl="3" w:tplc="081A000F">
      <w:start w:val="1"/>
      <w:numFmt w:val="decimal"/>
      <w:lvlText w:val="%4."/>
      <w:lvlJc w:val="left"/>
      <w:pPr>
        <w:ind w:left="4680" w:hanging="360"/>
      </w:pPr>
    </w:lvl>
    <w:lvl w:ilvl="4" w:tplc="081A0019">
      <w:start w:val="1"/>
      <w:numFmt w:val="lowerLetter"/>
      <w:lvlText w:val="%5."/>
      <w:lvlJc w:val="left"/>
      <w:pPr>
        <w:ind w:left="5400" w:hanging="360"/>
      </w:pPr>
    </w:lvl>
    <w:lvl w:ilvl="5" w:tplc="081A001B">
      <w:start w:val="1"/>
      <w:numFmt w:val="lowerRoman"/>
      <w:lvlText w:val="%6."/>
      <w:lvlJc w:val="right"/>
      <w:pPr>
        <w:ind w:left="6120" w:hanging="180"/>
      </w:pPr>
    </w:lvl>
    <w:lvl w:ilvl="6" w:tplc="081A000F">
      <w:start w:val="1"/>
      <w:numFmt w:val="decimal"/>
      <w:lvlText w:val="%7."/>
      <w:lvlJc w:val="left"/>
      <w:pPr>
        <w:ind w:left="6840" w:hanging="360"/>
      </w:pPr>
    </w:lvl>
    <w:lvl w:ilvl="7" w:tplc="081A0019">
      <w:start w:val="1"/>
      <w:numFmt w:val="lowerLetter"/>
      <w:lvlText w:val="%8."/>
      <w:lvlJc w:val="left"/>
      <w:pPr>
        <w:ind w:left="7560" w:hanging="360"/>
      </w:pPr>
    </w:lvl>
    <w:lvl w:ilvl="8" w:tplc="081A001B">
      <w:start w:val="1"/>
      <w:numFmt w:val="lowerRoman"/>
      <w:lvlText w:val="%9."/>
      <w:lvlJc w:val="right"/>
      <w:pPr>
        <w:ind w:left="8280" w:hanging="180"/>
      </w:pPr>
    </w:lvl>
  </w:abstractNum>
  <w:abstractNum w:abstractNumId="11" w15:restartNumberingAfterBreak="0">
    <w:nsid w:val="71DC4DDE"/>
    <w:multiLevelType w:val="hybridMultilevel"/>
    <w:tmpl w:val="E23A6712"/>
    <w:lvl w:ilvl="0" w:tplc="1BA4B3E6">
      <w:start w:val="1"/>
      <w:numFmt w:val="bullet"/>
      <w:lvlText w:val=""/>
      <w:lvlJc w:val="left"/>
      <w:pPr>
        <w:tabs>
          <w:tab w:val="num" w:pos="360"/>
        </w:tabs>
        <w:ind w:left="360" w:hanging="360"/>
      </w:pPr>
      <w:rPr>
        <w:rFonts w:ascii="Symbol" w:hAnsi="Symbol" w:cs="Symbol" w:hint="default"/>
        <w:b/>
        <w:bCs/>
      </w:rPr>
    </w:lvl>
    <w:lvl w:ilvl="1" w:tplc="081A0001">
      <w:start w:val="1"/>
      <w:numFmt w:val="bullet"/>
      <w:lvlText w:val=""/>
      <w:lvlJc w:val="left"/>
      <w:pPr>
        <w:tabs>
          <w:tab w:val="num" w:pos="1080"/>
        </w:tabs>
        <w:ind w:left="1080" w:hanging="360"/>
      </w:pPr>
      <w:rPr>
        <w:rFonts w:ascii="Symbol" w:hAnsi="Symbol" w:cs="Symbol" w:hint="default"/>
      </w:r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520"/>
        </w:tabs>
        <w:ind w:left="2520" w:hanging="360"/>
      </w:pPr>
    </w:lvl>
    <w:lvl w:ilvl="4" w:tplc="081A0019">
      <w:start w:val="1"/>
      <w:numFmt w:val="decimal"/>
      <w:lvlText w:val="%5."/>
      <w:lvlJc w:val="left"/>
      <w:pPr>
        <w:tabs>
          <w:tab w:val="num" w:pos="3240"/>
        </w:tabs>
        <w:ind w:left="3240" w:hanging="360"/>
      </w:pPr>
    </w:lvl>
    <w:lvl w:ilvl="5" w:tplc="081A001B">
      <w:start w:val="1"/>
      <w:numFmt w:val="decimal"/>
      <w:lvlText w:val="%6."/>
      <w:lvlJc w:val="left"/>
      <w:pPr>
        <w:tabs>
          <w:tab w:val="num" w:pos="3960"/>
        </w:tabs>
        <w:ind w:left="3960" w:hanging="360"/>
      </w:pPr>
    </w:lvl>
    <w:lvl w:ilvl="6" w:tplc="081A000F">
      <w:start w:val="1"/>
      <w:numFmt w:val="decimal"/>
      <w:lvlText w:val="%7."/>
      <w:lvlJc w:val="left"/>
      <w:pPr>
        <w:tabs>
          <w:tab w:val="num" w:pos="4680"/>
        </w:tabs>
        <w:ind w:left="4680" w:hanging="360"/>
      </w:pPr>
    </w:lvl>
    <w:lvl w:ilvl="7" w:tplc="081A0019">
      <w:start w:val="1"/>
      <w:numFmt w:val="decimal"/>
      <w:lvlText w:val="%8."/>
      <w:lvlJc w:val="left"/>
      <w:pPr>
        <w:tabs>
          <w:tab w:val="num" w:pos="5400"/>
        </w:tabs>
        <w:ind w:left="5400" w:hanging="360"/>
      </w:pPr>
    </w:lvl>
    <w:lvl w:ilvl="8" w:tplc="081A001B">
      <w:start w:val="1"/>
      <w:numFmt w:val="decimal"/>
      <w:lvlText w:val="%9."/>
      <w:lvlJc w:val="left"/>
      <w:pPr>
        <w:tabs>
          <w:tab w:val="num" w:pos="6120"/>
        </w:tabs>
        <w:ind w:left="6120" w:hanging="360"/>
      </w:pPr>
    </w:lvl>
  </w:abstractNum>
  <w:abstractNum w:abstractNumId="12" w15:restartNumberingAfterBreak="0">
    <w:nsid w:val="7BE432E3"/>
    <w:multiLevelType w:val="hybridMultilevel"/>
    <w:tmpl w:val="594E7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DC366B6"/>
    <w:multiLevelType w:val="hybridMultilevel"/>
    <w:tmpl w:val="53682A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9"/>
  </w:num>
  <w:num w:numId="3">
    <w:abstractNumId w:val="10"/>
  </w:num>
  <w:num w:numId="4">
    <w:abstractNumId w:val="12"/>
  </w:num>
  <w:num w:numId="5">
    <w:abstractNumId w:val="6"/>
  </w:num>
  <w:num w:numId="6">
    <w:abstractNumId w:val="5"/>
  </w:num>
  <w:num w:numId="7">
    <w:abstractNumId w:val="0"/>
  </w:num>
  <w:num w:numId="8">
    <w:abstractNumId w:val="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
  </w:num>
  <w:num w:numId="14">
    <w:abstractNumId w:val="7"/>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D3"/>
    <w:rsid w:val="00000D88"/>
    <w:rsid w:val="00004D48"/>
    <w:rsid w:val="00041DEE"/>
    <w:rsid w:val="000505FC"/>
    <w:rsid w:val="00052035"/>
    <w:rsid w:val="00054554"/>
    <w:rsid w:val="00054E86"/>
    <w:rsid w:val="000661CF"/>
    <w:rsid w:val="00071AAF"/>
    <w:rsid w:val="0007367A"/>
    <w:rsid w:val="00076537"/>
    <w:rsid w:val="0008713D"/>
    <w:rsid w:val="00090077"/>
    <w:rsid w:val="00092AEE"/>
    <w:rsid w:val="00093CC2"/>
    <w:rsid w:val="000964FD"/>
    <w:rsid w:val="000B41FB"/>
    <w:rsid w:val="000C3D26"/>
    <w:rsid w:val="000C4CDE"/>
    <w:rsid w:val="000E164B"/>
    <w:rsid w:val="000E2F02"/>
    <w:rsid w:val="00114376"/>
    <w:rsid w:val="00114C64"/>
    <w:rsid w:val="001154DE"/>
    <w:rsid w:val="0011753F"/>
    <w:rsid w:val="00121EA7"/>
    <w:rsid w:val="0012253B"/>
    <w:rsid w:val="0012397A"/>
    <w:rsid w:val="001247EF"/>
    <w:rsid w:val="00143ECB"/>
    <w:rsid w:val="001453D7"/>
    <w:rsid w:val="001643D2"/>
    <w:rsid w:val="00182EB3"/>
    <w:rsid w:val="0018688B"/>
    <w:rsid w:val="00195CE6"/>
    <w:rsid w:val="001C57BD"/>
    <w:rsid w:val="001D61F6"/>
    <w:rsid w:val="001E303B"/>
    <w:rsid w:val="001F39EB"/>
    <w:rsid w:val="001F424D"/>
    <w:rsid w:val="001F725A"/>
    <w:rsid w:val="00200184"/>
    <w:rsid w:val="00200EAB"/>
    <w:rsid w:val="00206566"/>
    <w:rsid w:val="00214559"/>
    <w:rsid w:val="00214BCF"/>
    <w:rsid w:val="0022012C"/>
    <w:rsid w:val="00227810"/>
    <w:rsid w:val="0023343F"/>
    <w:rsid w:val="00237438"/>
    <w:rsid w:val="002433BC"/>
    <w:rsid w:val="00245902"/>
    <w:rsid w:val="00252290"/>
    <w:rsid w:val="0025327A"/>
    <w:rsid w:val="00255837"/>
    <w:rsid w:val="002616B8"/>
    <w:rsid w:val="00272F3A"/>
    <w:rsid w:val="002755C0"/>
    <w:rsid w:val="002849BD"/>
    <w:rsid w:val="0028743E"/>
    <w:rsid w:val="00291088"/>
    <w:rsid w:val="0029193F"/>
    <w:rsid w:val="00295978"/>
    <w:rsid w:val="00296F6A"/>
    <w:rsid w:val="00297F15"/>
    <w:rsid w:val="002A33FC"/>
    <w:rsid w:val="002A5A95"/>
    <w:rsid w:val="002B2143"/>
    <w:rsid w:val="002B567E"/>
    <w:rsid w:val="002C0D1D"/>
    <w:rsid w:val="002C632C"/>
    <w:rsid w:val="002D304F"/>
    <w:rsid w:val="002D5179"/>
    <w:rsid w:val="002F166C"/>
    <w:rsid w:val="002F25BB"/>
    <w:rsid w:val="002F2E0D"/>
    <w:rsid w:val="002F3A97"/>
    <w:rsid w:val="002F5696"/>
    <w:rsid w:val="002F6A65"/>
    <w:rsid w:val="002F7312"/>
    <w:rsid w:val="0031336E"/>
    <w:rsid w:val="0032324E"/>
    <w:rsid w:val="00325769"/>
    <w:rsid w:val="003465F9"/>
    <w:rsid w:val="00347271"/>
    <w:rsid w:val="003528E9"/>
    <w:rsid w:val="00361E80"/>
    <w:rsid w:val="00366A95"/>
    <w:rsid w:val="00371A9C"/>
    <w:rsid w:val="0037494E"/>
    <w:rsid w:val="003754C2"/>
    <w:rsid w:val="00375F15"/>
    <w:rsid w:val="00384DD6"/>
    <w:rsid w:val="00397283"/>
    <w:rsid w:val="003A0875"/>
    <w:rsid w:val="003A65B3"/>
    <w:rsid w:val="003B635B"/>
    <w:rsid w:val="003C0A9A"/>
    <w:rsid w:val="003C7A52"/>
    <w:rsid w:val="003F63D9"/>
    <w:rsid w:val="003F6F51"/>
    <w:rsid w:val="00402AC0"/>
    <w:rsid w:val="00414818"/>
    <w:rsid w:val="0041519F"/>
    <w:rsid w:val="00422EBD"/>
    <w:rsid w:val="00423F06"/>
    <w:rsid w:val="0042412E"/>
    <w:rsid w:val="004278F0"/>
    <w:rsid w:val="00431840"/>
    <w:rsid w:val="0043566D"/>
    <w:rsid w:val="0043714B"/>
    <w:rsid w:val="00444C4F"/>
    <w:rsid w:val="00453EF8"/>
    <w:rsid w:val="00462221"/>
    <w:rsid w:val="0046316F"/>
    <w:rsid w:val="0046455F"/>
    <w:rsid w:val="004658A6"/>
    <w:rsid w:val="00467FA4"/>
    <w:rsid w:val="004911DA"/>
    <w:rsid w:val="00491997"/>
    <w:rsid w:val="004922F1"/>
    <w:rsid w:val="00497514"/>
    <w:rsid w:val="004B0566"/>
    <w:rsid w:val="004C256F"/>
    <w:rsid w:val="004C39B7"/>
    <w:rsid w:val="004D13E1"/>
    <w:rsid w:val="004D6D60"/>
    <w:rsid w:val="004E68DC"/>
    <w:rsid w:val="00504BA4"/>
    <w:rsid w:val="00507332"/>
    <w:rsid w:val="00511A6E"/>
    <w:rsid w:val="005211F0"/>
    <w:rsid w:val="00522096"/>
    <w:rsid w:val="00527CF5"/>
    <w:rsid w:val="00527E45"/>
    <w:rsid w:val="0054200A"/>
    <w:rsid w:val="005446C7"/>
    <w:rsid w:val="00564AE0"/>
    <w:rsid w:val="00564F89"/>
    <w:rsid w:val="00565737"/>
    <w:rsid w:val="005775B2"/>
    <w:rsid w:val="00596C30"/>
    <w:rsid w:val="005A1B1A"/>
    <w:rsid w:val="005A4D74"/>
    <w:rsid w:val="005B259E"/>
    <w:rsid w:val="005B643E"/>
    <w:rsid w:val="005E0534"/>
    <w:rsid w:val="005E0F96"/>
    <w:rsid w:val="005E1CE8"/>
    <w:rsid w:val="005E5484"/>
    <w:rsid w:val="005F08BD"/>
    <w:rsid w:val="005F0B4E"/>
    <w:rsid w:val="005F1CD9"/>
    <w:rsid w:val="006018E9"/>
    <w:rsid w:val="00601DE5"/>
    <w:rsid w:val="00607511"/>
    <w:rsid w:val="00610B4C"/>
    <w:rsid w:val="00614DB5"/>
    <w:rsid w:val="006170C6"/>
    <w:rsid w:val="00621157"/>
    <w:rsid w:val="00623423"/>
    <w:rsid w:val="006304CF"/>
    <w:rsid w:val="00630816"/>
    <w:rsid w:val="00634741"/>
    <w:rsid w:val="00637579"/>
    <w:rsid w:val="006457D5"/>
    <w:rsid w:val="0064601B"/>
    <w:rsid w:val="00654EF9"/>
    <w:rsid w:val="0066320D"/>
    <w:rsid w:val="006740D3"/>
    <w:rsid w:val="00677054"/>
    <w:rsid w:val="00686E7E"/>
    <w:rsid w:val="0069043C"/>
    <w:rsid w:val="006916AC"/>
    <w:rsid w:val="00692E24"/>
    <w:rsid w:val="00696195"/>
    <w:rsid w:val="006A0659"/>
    <w:rsid w:val="006A4C28"/>
    <w:rsid w:val="006B24D7"/>
    <w:rsid w:val="006B4347"/>
    <w:rsid w:val="006B55DA"/>
    <w:rsid w:val="006C0AB7"/>
    <w:rsid w:val="006C3187"/>
    <w:rsid w:val="006D3D0F"/>
    <w:rsid w:val="006E2AA3"/>
    <w:rsid w:val="00700AF5"/>
    <w:rsid w:val="00702B38"/>
    <w:rsid w:val="00704F3D"/>
    <w:rsid w:val="00710120"/>
    <w:rsid w:val="00710672"/>
    <w:rsid w:val="00724FF1"/>
    <w:rsid w:val="007256F4"/>
    <w:rsid w:val="00726AAA"/>
    <w:rsid w:val="00743DDF"/>
    <w:rsid w:val="007516AE"/>
    <w:rsid w:val="00755279"/>
    <w:rsid w:val="007626BF"/>
    <w:rsid w:val="00767995"/>
    <w:rsid w:val="00777517"/>
    <w:rsid w:val="0077753F"/>
    <w:rsid w:val="00777C66"/>
    <w:rsid w:val="00790DBC"/>
    <w:rsid w:val="007915BF"/>
    <w:rsid w:val="00794D03"/>
    <w:rsid w:val="007A2F93"/>
    <w:rsid w:val="007B00F0"/>
    <w:rsid w:val="007B1282"/>
    <w:rsid w:val="007B255C"/>
    <w:rsid w:val="007B3DA7"/>
    <w:rsid w:val="007C2C4F"/>
    <w:rsid w:val="007D3BA0"/>
    <w:rsid w:val="007E3675"/>
    <w:rsid w:val="007F2CCD"/>
    <w:rsid w:val="007F3D54"/>
    <w:rsid w:val="0080361A"/>
    <w:rsid w:val="0080426F"/>
    <w:rsid w:val="008103C7"/>
    <w:rsid w:val="00816E94"/>
    <w:rsid w:val="008172B8"/>
    <w:rsid w:val="00822CE9"/>
    <w:rsid w:val="00836B51"/>
    <w:rsid w:val="0084519F"/>
    <w:rsid w:val="008510C1"/>
    <w:rsid w:val="00862E09"/>
    <w:rsid w:val="00876BB3"/>
    <w:rsid w:val="00895B0D"/>
    <w:rsid w:val="00896872"/>
    <w:rsid w:val="00897DA7"/>
    <w:rsid w:val="008A43BA"/>
    <w:rsid w:val="008A4C18"/>
    <w:rsid w:val="008B5C59"/>
    <w:rsid w:val="008D07A7"/>
    <w:rsid w:val="008D6A2E"/>
    <w:rsid w:val="00916EEA"/>
    <w:rsid w:val="009313C7"/>
    <w:rsid w:val="0093165A"/>
    <w:rsid w:val="009435D0"/>
    <w:rsid w:val="00950954"/>
    <w:rsid w:val="00953A30"/>
    <w:rsid w:val="0095528C"/>
    <w:rsid w:val="009627C7"/>
    <w:rsid w:val="00965D9B"/>
    <w:rsid w:val="00981009"/>
    <w:rsid w:val="00981208"/>
    <w:rsid w:val="009813D9"/>
    <w:rsid w:val="00983057"/>
    <w:rsid w:val="00984C6D"/>
    <w:rsid w:val="009879D0"/>
    <w:rsid w:val="0099001E"/>
    <w:rsid w:val="00991C41"/>
    <w:rsid w:val="009969C7"/>
    <w:rsid w:val="009979B9"/>
    <w:rsid w:val="009A04A9"/>
    <w:rsid w:val="009A7A2A"/>
    <w:rsid w:val="009B0938"/>
    <w:rsid w:val="009B35D3"/>
    <w:rsid w:val="009B7927"/>
    <w:rsid w:val="009B79F9"/>
    <w:rsid w:val="009C6FB7"/>
    <w:rsid w:val="009D58BF"/>
    <w:rsid w:val="009E07F6"/>
    <w:rsid w:val="009E12C7"/>
    <w:rsid w:val="009E215A"/>
    <w:rsid w:val="00A00407"/>
    <w:rsid w:val="00A225F6"/>
    <w:rsid w:val="00A24BB5"/>
    <w:rsid w:val="00A26DF1"/>
    <w:rsid w:val="00A275BD"/>
    <w:rsid w:val="00A3441A"/>
    <w:rsid w:val="00A43359"/>
    <w:rsid w:val="00A473CB"/>
    <w:rsid w:val="00A54D87"/>
    <w:rsid w:val="00A55245"/>
    <w:rsid w:val="00A56E92"/>
    <w:rsid w:val="00A64E52"/>
    <w:rsid w:val="00A65442"/>
    <w:rsid w:val="00A66A37"/>
    <w:rsid w:val="00A77EE8"/>
    <w:rsid w:val="00A81CD7"/>
    <w:rsid w:val="00A830D6"/>
    <w:rsid w:val="00A842A1"/>
    <w:rsid w:val="00A8669A"/>
    <w:rsid w:val="00A86A39"/>
    <w:rsid w:val="00A96E75"/>
    <w:rsid w:val="00AA4FF4"/>
    <w:rsid w:val="00AA6BCE"/>
    <w:rsid w:val="00AB02CF"/>
    <w:rsid w:val="00AB1907"/>
    <w:rsid w:val="00AB2882"/>
    <w:rsid w:val="00AB55D1"/>
    <w:rsid w:val="00AB6737"/>
    <w:rsid w:val="00AD1354"/>
    <w:rsid w:val="00AE0416"/>
    <w:rsid w:val="00AE3C81"/>
    <w:rsid w:val="00AE4D2E"/>
    <w:rsid w:val="00AE6D71"/>
    <w:rsid w:val="00AF0C7D"/>
    <w:rsid w:val="00B0628E"/>
    <w:rsid w:val="00B11EF2"/>
    <w:rsid w:val="00B1228F"/>
    <w:rsid w:val="00B15220"/>
    <w:rsid w:val="00B271C1"/>
    <w:rsid w:val="00B30F3F"/>
    <w:rsid w:val="00B3190A"/>
    <w:rsid w:val="00B3260D"/>
    <w:rsid w:val="00B33664"/>
    <w:rsid w:val="00B4118B"/>
    <w:rsid w:val="00B72D2A"/>
    <w:rsid w:val="00B75D59"/>
    <w:rsid w:val="00B844C7"/>
    <w:rsid w:val="00B9036B"/>
    <w:rsid w:val="00B95F7D"/>
    <w:rsid w:val="00B970CB"/>
    <w:rsid w:val="00BA168F"/>
    <w:rsid w:val="00BA2B3E"/>
    <w:rsid w:val="00BA6A9F"/>
    <w:rsid w:val="00BB2346"/>
    <w:rsid w:val="00BB2A81"/>
    <w:rsid w:val="00BB3A58"/>
    <w:rsid w:val="00BB6899"/>
    <w:rsid w:val="00BB7160"/>
    <w:rsid w:val="00BC646F"/>
    <w:rsid w:val="00BD4852"/>
    <w:rsid w:val="00BE1CF7"/>
    <w:rsid w:val="00BE6D1F"/>
    <w:rsid w:val="00BF1C0E"/>
    <w:rsid w:val="00BF1DE5"/>
    <w:rsid w:val="00BF58D7"/>
    <w:rsid w:val="00C027B8"/>
    <w:rsid w:val="00C05B17"/>
    <w:rsid w:val="00C11B40"/>
    <w:rsid w:val="00C12074"/>
    <w:rsid w:val="00C4058C"/>
    <w:rsid w:val="00C42374"/>
    <w:rsid w:val="00C44665"/>
    <w:rsid w:val="00C44D31"/>
    <w:rsid w:val="00C45F82"/>
    <w:rsid w:val="00C57427"/>
    <w:rsid w:val="00C6162F"/>
    <w:rsid w:val="00C64847"/>
    <w:rsid w:val="00C71CC4"/>
    <w:rsid w:val="00C75A46"/>
    <w:rsid w:val="00C80D6F"/>
    <w:rsid w:val="00C82340"/>
    <w:rsid w:val="00C859D8"/>
    <w:rsid w:val="00C92ADE"/>
    <w:rsid w:val="00CA4BB1"/>
    <w:rsid w:val="00CA6FBB"/>
    <w:rsid w:val="00CB1287"/>
    <w:rsid w:val="00CB6754"/>
    <w:rsid w:val="00CC0CF7"/>
    <w:rsid w:val="00CC64D1"/>
    <w:rsid w:val="00CD7FAA"/>
    <w:rsid w:val="00CF153E"/>
    <w:rsid w:val="00D01A68"/>
    <w:rsid w:val="00D110F8"/>
    <w:rsid w:val="00D11B27"/>
    <w:rsid w:val="00D126B7"/>
    <w:rsid w:val="00D13678"/>
    <w:rsid w:val="00D24A75"/>
    <w:rsid w:val="00D3286E"/>
    <w:rsid w:val="00D42643"/>
    <w:rsid w:val="00D475F3"/>
    <w:rsid w:val="00D537E9"/>
    <w:rsid w:val="00D574E7"/>
    <w:rsid w:val="00D65BAE"/>
    <w:rsid w:val="00D922AE"/>
    <w:rsid w:val="00D93AEF"/>
    <w:rsid w:val="00D93D5E"/>
    <w:rsid w:val="00D93FA0"/>
    <w:rsid w:val="00DA3878"/>
    <w:rsid w:val="00DB11F2"/>
    <w:rsid w:val="00DB7913"/>
    <w:rsid w:val="00DC49C8"/>
    <w:rsid w:val="00DC7228"/>
    <w:rsid w:val="00DC777C"/>
    <w:rsid w:val="00DD10B8"/>
    <w:rsid w:val="00DD4EEA"/>
    <w:rsid w:val="00DD5632"/>
    <w:rsid w:val="00DE04E2"/>
    <w:rsid w:val="00DE5D35"/>
    <w:rsid w:val="00DE63B3"/>
    <w:rsid w:val="00DF028D"/>
    <w:rsid w:val="00DF4353"/>
    <w:rsid w:val="00E24A93"/>
    <w:rsid w:val="00E30219"/>
    <w:rsid w:val="00E45D6D"/>
    <w:rsid w:val="00E501DA"/>
    <w:rsid w:val="00E5036F"/>
    <w:rsid w:val="00E511C2"/>
    <w:rsid w:val="00E55E98"/>
    <w:rsid w:val="00E617FD"/>
    <w:rsid w:val="00E6244F"/>
    <w:rsid w:val="00E70525"/>
    <w:rsid w:val="00E71B0C"/>
    <w:rsid w:val="00E7315F"/>
    <w:rsid w:val="00E75A78"/>
    <w:rsid w:val="00E76C0A"/>
    <w:rsid w:val="00E80AFF"/>
    <w:rsid w:val="00E84212"/>
    <w:rsid w:val="00E844B5"/>
    <w:rsid w:val="00E84C18"/>
    <w:rsid w:val="00EA3229"/>
    <w:rsid w:val="00EB6321"/>
    <w:rsid w:val="00EB79E5"/>
    <w:rsid w:val="00ED1A11"/>
    <w:rsid w:val="00ED4933"/>
    <w:rsid w:val="00ED5ED3"/>
    <w:rsid w:val="00EE75D7"/>
    <w:rsid w:val="00EE7A6B"/>
    <w:rsid w:val="00F014D7"/>
    <w:rsid w:val="00F07865"/>
    <w:rsid w:val="00F07CB5"/>
    <w:rsid w:val="00F17263"/>
    <w:rsid w:val="00F24F32"/>
    <w:rsid w:val="00F26416"/>
    <w:rsid w:val="00F2641F"/>
    <w:rsid w:val="00F36F27"/>
    <w:rsid w:val="00F4456C"/>
    <w:rsid w:val="00F54407"/>
    <w:rsid w:val="00F55578"/>
    <w:rsid w:val="00F65878"/>
    <w:rsid w:val="00F77CEE"/>
    <w:rsid w:val="00F82D31"/>
    <w:rsid w:val="00F86DA8"/>
    <w:rsid w:val="00F91E3F"/>
    <w:rsid w:val="00F96FEE"/>
    <w:rsid w:val="00FA3D30"/>
    <w:rsid w:val="00FB78C8"/>
    <w:rsid w:val="00FC23FE"/>
    <w:rsid w:val="00FC49A8"/>
    <w:rsid w:val="00FC4B74"/>
    <w:rsid w:val="00FD2E94"/>
    <w:rsid w:val="00FD537A"/>
    <w:rsid w:val="00FD6692"/>
    <w:rsid w:val="00FD6BAF"/>
    <w:rsid w:val="00FE0901"/>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156C0F-D2CB-4BDA-9C35-DACCE97D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RS" w:eastAsia="sr-Cyrl-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82"/>
    <w:rPr>
      <w:lang w:val="en-US" w:eastAsia="en-US"/>
    </w:rPr>
  </w:style>
  <w:style w:type="paragraph" w:styleId="Heading1">
    <w:name w:val="heading 1"/>
    <w:basedOn w:val="Normal"/>
    <w:next w:val="Normal"/>
    <w:link w:val="Heading1Char"/>
    <w:uiPriority w:val="99"/>
    <w:qFormat/>
    <w:rsid w:val="00981208"/>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0659"/>
    <w:rPr>
      <w:rFonts w:ascii="Cambria" w:hAnsi="Cambria" w:cs="Cambria"/>
      <w:b/>
      <w:bCs/>
      <w:kern w:val="32"/>
      <w:sz w:val="32"/>
      <w:szCs w:val="32"/>
    </w:rPr>
  </w:style>
  <w:style w:type="paragraph" w:styleId="Header">
    <w:name w:val="header"/>
    <w:basedOn w:val="Normal"/>
    <w:link w:val="HeaderChar"/>
    <w:uiPriority w:val="99"/>
    <w:rsid w:val="00AE3C81"/>
    <w:pPr>
      <w:tabs>
        <w:tab w:val="center" w:pos="4320"/>
        <w:tab w:val="right" w:pos="8640"/>
      </w:tabs>
    </w:pPr>
  </w:style>
  <w:style w:type="character" w:customStyle="1" w:styleId="HeaderChar">
    <w:name w:val="Header Char"/>
    <w:link w:val="Header"/>
    <w:uiPriority w:val="99"/>
    <w:semiHidden/>
    <w:locked/>
    <w:rsid w:val="006A0659"/>
    <w:rPr>
      <w:sz w:val="20"/>
      <w:szCs w:val="20"/>
    </w:rPr>
  </w:style>
  <w:style w:type="paragraph" w:styleId="Footer">
    <w:name w:val="footer"/>
    <w:basedOn w:val="Normal"/>
    <w:link w:val="FooterChar"/>
    <w:uiPriority w:val="99"/>
    <w:rsid w:val="00AE3C81"/>
    <w:pPr>
      <w:tabs>
        <w:tab w:val="center" w:pos="4320"/>
        <w:tab w:val="right" w:pos="8640"/>
      </w:tabs>
    </w:pPr>
  </w:style>
  <w:style w:type="character" w:customStyle="1" w:styleId="FooterChar">
    <w:name w:val="Footer Char"/>
    <w:link w:val="Footer"/>
    <w:uiPriority w:val="99"/>
    <w:semiHidden/>
    <w:locked/>
    <w:rsid w:val="006A0659"/>
    <w:rPr>
      <w:sz w:val="20"/>
      <w:szCs w:val="20"/>
    </w:rPr>
  </w:style>
  <w:style w:type="table" w:styleId="TableWeb3">
    <w:name w:val="Table Web 3"/>
    <w:basedOn w:val="TableNormal"/>
    <w:uiPriority w:val="99"/>
    <w:rsid w:val="00DE63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uiPriority w:val="99"/>
    <w:rsid w:val="00AE3C81"/>
    <w:rPr>
      <w:rFonts w:ascii="Arial" w:hAnsi="Arial" w:cs="Arial"/>
    </w:rPr>
  </w:style>
  <w:style w:type="paragraph" w:styleId="BalloonText">
    <w:name w:val="Balloon Text"/>
    <w:basedOn w:val="Normal"/>
    <w:link w:val="BalloonTextChar"/>
    <w:uiPriority w:val="99"/>
    <w:semiHidden/>
    <w:rsid w:val="00F82D31"/>
    <w:rPr>
      <w:rFonts w:ascii="Tahoma" w:hAnsi="Tahoma" w:cs="Tahoma"/>
      <w:sz w:val="16"/>
      <w:szCs w:val="16"/>
    </w:rPr>
  </w:style>
  <w:style w:type="character" w:customStyle="1" w:styleId="BalloonTextChar">
    <w:name w:val="Balloon Text Char"/>
    <w:link w:val="BalloonText"/>
    <w:uiPriority w:val="99"/>
    <w:locked/>
    <w:rsid w:val="00F82D31"/>
    <w:rPr>
      <w:rFonts w:ascii="Tahoma" w:hAnsi="Tahoma" w:cs="Tahoma"/>
      <w:sz w:val="16"/>
      <w:szCs w:val="16"/>
    </w:rPr>
  </w:style>
  <w:style w:type="paragraph" w:styleId="BodyText">
    <w:name w:val="Body Text"/>
    <w:basedOn w:val="Normal"/>
    <w:link w:val="BodyTextChar"/>
    <w:uiPriority w:val="99"/>
    <w:rsid w:val="00527CF5"/>
    <w:pPr>
      <w:suppressAutoHyphens/>
      <w:jc w:val="both"/>
    </w:pPr>
    <w:rPr>
      <w:b/>
      <w:bCs/>
      <w:color w:val="0000FF"/>
      <w:sz w:val="24"/>
      <w:szCs w:val="24"/>
      <w:lang w:val="sr-Cyrl-CS" w:eastAsia="zh-CN"/>
    </w:rPr>
  </w:style>
  <w:style w:type="character" w:customStyle="1" w:styleId="BodyTextChar">
    <w:name w:val="Body Text Char"/>
    <w:link w:val="BodyText"/>
    <w:uiPriority w:val="99"/>
    <w:locked/>
    <w:rsid w:val="00527CF5"/>
    <w:rPr>
      <w:b/>
      <w:bCs/>
      <w:color w:val="0000FF"/>
      <w:sz w:val="24"/>
      <w:szCs w:val="24"/>
      <w:lang w:val="sr-Cyrl-CS" w:eastAsia="zh-CN"/>
    </w:rPr>
  </w:style>
  <w:style w:type="paragraph" w:styleId="ListParagraph">
    <w:name w:val="List Paragraph"/>
    <w:basedOn w:val="Normal"/>
    <w:uiPriority w:val="99"/>
    <w:qFormat/>
    <w:rsid w:val="00527CF5"/>
    <w:pPr>
      <w:suppressAutoHyphens/>
      <w:ind w:left="708"/>
    </w:pPr>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13192">
      <w:marLeft w:val="0"/>
      <w:marRight w:val="0"/>
      <w:marTop w:val="0"/>
      <w:marBottom w:val="0"/>
      <w:divBdr>
        <w:top w:val="none" w:sz="0" w:space="0" w:color="auto"/>
        <w:left w:val="none" w:sz="0" w:space="0" w:color="auto"/>
        <w:bottom w:val="none" w:sz="0" w:space="0" w:color="auto"/>
        <w:right w:val="none" w:sz="0" w:space="0" w:color="auto"/>
      </w:divBdr>
    </w:div>
    <w:div w:id="614413193">
      <w:marLeft w:val="0"/>
      <w:marRight w:val="0"/>
      <w:marTop w:val="0"/>
      <w:marBottom w:val="0"/>
      <w:divBdr>
        <w:top w:val="none" w:sz="0" w:space="0" w:color="auto"/>
        <w:left w:val="none" w:sz="0" w:space="0" w:color="auto"/>
        <w:bottom w:val="none" w:sz="0" w:space="0" w:color="auto"/>
        <w:right w:val="none" w:sz="0" w:space="0" w:color="auto"/>
      </w:divBdr>
    </w:div>
    <w:div w:id="614413194">
      <w:marLeft w:val="0"/>
      <w:marRight w:val="0"/>
      <w:marTop w:val="0"/>
      <w:marBottom w:val="0"/>
      <w:divBdr>
        <w:top w:val="none" w:sz="0" w:space="0" w:color="auto"/>
        <w:left w:val="none" w:sz="0" w:space="0" w:color="auto"/>
        <w:bottom w:val="none" w:sz="0" w:space="0" w:color="auto"/>
        <w:right w:val="none" w:sz="0" w:space="0" w:color="auto"/>
      </w:divBdr>
    </w:div>
    <w:div w:id="614413195">
      <w:marLeft w:val="0"/>
      <w:marRight w:val="0"/>
      <w:marTop w:val="0"/>
      <w:marBottom w:val="0"/>
      <w:divBdr>
        <w:top w:val="none" w:sz="0" w:space="0" w:color="auto"/>
        <w:left w:val="none" w:sz="0" w:space="0" w:color="auto"/>
        <w:bottom w:val="none" w:sz="0" w:space="0" w:color="auto"/>
        <w:right w:val="none" w:sz="0" w:space="0" w:color="auto"/>
      </w:divBdr>
    </w:div>
    <w:div w:id="614413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ФАКС ПОРУКА</vt:lpstr>
    </vt:vector>
  </TitlesOfParts>
  <Company>SVA</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ПОРУКА</dc:title>
  <dc:subject/>
  <dc:creator>RAZVOJ</dc:creator>
  <cp:keywords/>
  <dc:description/>
  <cp:lastModifiedBy>Milan MO. Opacic</cp:lastModifiedBy>
  <cp:revision>2</cp:revision>
  <cp:lastPrinted>2015-08-27T07:49:00Z</cp:lastPrinted>
  <dcterms:created xsi:type="dcterms:W3CDTF">2015-09-01T13:32:00Z</dcterms:created>
  <dcterms:modified xsi:type="dcterms:W3CDTF">2015-09-01T13:32:00Z</dcterms:modified>
</cp:coreProperties>
</file>